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О недопустимости буллинга и травли в образовательной среде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Буллинг или травля – это систематическое оскорбление, унижение или запугивание человека в школе интернете. Подобные действия нарушают права ребенка и могут повлечь юридическую ответственность.</w:t>
      </w:r>
      <w:r>
        <w:rPr>
          <w:rFonts w:ascii="Times New Roman" w:hAnsi="Times New Roman"/>
          <w:b w:val="0"/>
          <w:color w:val="000000"/>
          <w:sz w:val="28"/>
        </w:rPr>
        <w:t xml:space="preserve"> Так, согласно ст. 5.61 КоАП РФ за оскорбление предусмотрен штраф. Ответственность наступает с 16 лет.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Если травля сопровождается угрозами или побоями – это уголовно наказуемые деяния.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Федеральный закон от 29.12.2012 № 273-ФЗ «Об образовании в Российской Федерации» закрепляет право обучающихся на уважение человеческого достоинства и защиту от всех форм физического и психического насилия. Образовательные организации обязаны принимать меры по профилактике травли, своевременно реагировать на сообщения о нарушениях и обеспечивать безопасные условия обучения.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Формирование культуры уважения, поддержки и взаимопомощи в школьной среде – важная задача педагогов, родителей и самих учеников. Защита прав детей является приоритетным направлением деятельности государства и органов прокуратуры.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feeds-page__navigation_tooltip"/>
    <w:basedOn w:val="Style_9"/>
    <w:link w:val="Style_8_ch"/>
  </w:style>
  <w:style w:styleId="Style_8_ch" w:type="character">
    <w:name w:val="feeds-page__navigation_tooltip"/>
    <w:basedOn w:val="Style_9_ch"/>
    <w:link w:val="Style_8"/>
  </w:style>
  <w:style w:styleId="Style_10" w:type="paragraph">
    <w:name w:val="Normal (Web)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4" w:type="paragraph">
    <w:name w:val="Hyperlink"/>
    <w:basedOn w:val="Style_9"/>
    <w:link w:val="Style_14_ch"/>
    <w:rPr>
      <w:color w:val="0000FF"/>
      <w:u w:val="single"/>
    </w:rPr>
  </w:style>
  <w:style w:styleId="Style_14_ch" w:type="character">
    <w:name w:val="Hyperlink"/>
    <w:basedOn w:val="Style_9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no-indent"/>
    <w:basedOn w:val="Style_1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-indent"/>
    <w:basedOn w:val="Style_1_ch"/>
    <w:link w:val="Style_18"/>
    <w:rPr>
      <w:rFonts w:ascii="Times New Roman" w:hAnsi="Times New Roman"/>
      <w:sz w:val="24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2025-12-12T10:07:42Z</dcterms:modified>
</cp:coreProperties>
</file>