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Ответственность за нецелевое использование средств материнского капитала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Материнский капитал - мера государственной поддержки семей, воспитывающих детей.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Поскольку законом предусмотрены способы и цели его использования, сообщение получателями заведомо ложных сведений о себе и своей семье при подаче заявления в орган, уполномоченный принимать решение о выплате, предоставление недостоверных, подложных документов при оформлении данной социальной льготы лицами, не имеющими на это законных прав, влечет уголовную и гражданско-правовую ответственность.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Например, не соответствуют целевому назначению и расходованию средств материнского капитала: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предоставление заведомо ложных сведений о рождении ребенка;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формление чужого ребенка на себя;</w:t>
      </w:r>
    </w:p>
    <w:p w14:paraId="08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сокрытие факта лишения родительских прав на первого ребенка;</w:t>
      </w:r>
    </w:p>
    <w:p w14:paraId="09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направление средств на приобретение жилья по стоимости ниже, чем выделенная сумма, с последующим присвоением разницы в цене;</w:t>
      </w:r>
    </w:p>
    <w:p w14:paraId="0A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приобретение непригодного для проживания жилья с завышением его стоимости до размера материнского капитала с представлением фиктивного договора купли-продажи;</w:t>
      </w:r>
    </w:p>
    <w:p w14:paraId="0B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оформление ипотечного кредита в пределах средств материнского капитала;</w:t>
      </w:r>
    </w:p>
    <w:p w14:paraId="0C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и приобретение квартиры по фиктивному договору купли – продажи;</w:t>
      </w:r>
    </w:p>
    <w:p w14:paraId="0D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покупка автомобиля либо мебели.</w:t>
      </w:r>
    </w:p>
    <w:p w14:paraId="0E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Любые способы, позволяющие «обналичить» средства материнского капитала, незаконны и влекут уголовную ответственность до 10 лет лишения свободы.</w:t>
      </w:r>
    </w:p>
    <w:p w14:paraId="0F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Виновное лицо обязано возместить государству сумму незаконно полученного либо потраченного капитала (ст. 159.2 Уголовного кодекса РФ).</w:t>
      </w:r>
    </w:p>
    <w:p w14:paraId="10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11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12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13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1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-indent"/>
    <w:basedOn w:val="Style_1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-indent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val="0000FF"/>
      <w:u w:val="single"/>
    </w:rPr>
  </w:style>
  <w:style w:styleId="Style_12_ch" w:type="character">
    <w:name w:val="Hyperlink"/>
    <w:basedOn w:val="Style_13_ch"/>
    <w:link w:val="Style_1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feeds-page__navigation_tooltip"/>
    <w:basedOn w:val="Style_13"/>
    <w:link w:val="Style_20_ch"/>
  </w:style>
  <w:style w:styleId="Style_20_ch" w:type="character">
    <w:name w:val="feeds-page__navigation_tooltip"/>
    <w:basedOn w:val="Style_13_ch"/>
    <w:link w:val="Style_20"/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Normal (Web)"/>
    <w:basedOn w:val="Style_1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2025-12-12T07:44:35Z</dcterms:modified>
</cp:coreProperties>
</file>