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>муниципального имущества муниципального образования Рязановский сельсовет, Асекеевского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001ED7">
        <w:rPr>
          <w:rFonts w:ascii="Times New Roman" w:hAnsi="Times New Roman" w:cs="Times New Roman"/>
          <w:b/>
          <w:sz w:val="24"/>
          <w:szCs w:val="24"/>
        </w:rPr>
        <w:t>15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ED7">
        <w:rPr>
          <w:rFonts w:ascii="Times New Roman" w:hAnsi="Times New Roman" w:cs="Times New Roman"/>
          <w:b/>
          <w:sz w:val="24"/>
          <w:szCs w:val="24"/>
        </w:rPr>
        <w:t>января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Асекеевского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Решение Бугурусланского 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 Оренбургской области от 24.12.2014г.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Набережная  Асекеевского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441,5 кв.м.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7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 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50 куб.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21/1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21/2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21/3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21/4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21/5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вероисповедальное православноекладбище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Набережная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Нефтяников, дом № 9, Асекеевского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10,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Асекеевского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дом № 2, кв.11,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Пчелинцева Разия Адгемовна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 руб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(спецавтомобиль)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Pr="000071B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FB0549" w:rsidRDefault="00FB0549"/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ED7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C74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2020-01-24T04:36:00Z</dcterms:created>
  <dcterms:modified xsi:type="dcterms:W3CDTF">2020-01-29T07:09:00Z</dcterms:modified>
</cp:coreProperties>
</file>