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03" w:rsidRPr="00B60503" w:rsidRDefault="00B60503" w:rsidP="00B60503">
      <w:pPr>
        <w:jc w:val="center"/>
        <w:rPr>
          <w:noProof/>
          <w:sz w:val="28"/>
          <w:szCs w:val="28"/>
        </w:rPr>
      </w:pPr>
      <w:r w:rsidRPr="00B60503">
        <w:rPr>
          <w:noProof/>
          <w:sz w:val="28"/>
          <w:szCs w:val="28"/>
        </w:rPr>
        <w:drawing>
          <wp:inline distT="0" distB="0" distL="0" distR="0" wp14:anchorId="0C5A10FD" wp14:editId="764A8463">
            <wp:extent cx="501015" cy="628015"/>
            <wp:effectExtent l="19050" t="0" r="0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503" w:rsidRPr="00B60503" w:rsidRDefault="00B60503" w:rsidP="00B60503">
      <w:pPr>
        <w:jc w:val="center"/>
        <w:rPr>
          <w:rFonts w:ascii="Calibri" w:hAnsi="Calibri"/>
          <w:noProof/>
          <w:sz w:val="28"/>
          <w:szCs w:val="28"/>
        </w:rPr>
      </w:pPr>
    </w:p>
    <w:p w:rsidR="00B60503" w:rsidRPr="00B60503" w:rsidRDefault="00B60503" w:rsidP="00B60503">
      <w:pPr>
        <w:jc w:val="center"/>
        <w:rPr>
          <w:b/>
          <w:noProof/>
          <w:sz w:val="28"/>
          <w:szCs w:val="28"/>
        </w:rPr>
      </w:pPr>
      <w:r w:rsidRPr="00B60503">
        <w:rPr>
          <w:b/>
          <w:noProof/>
          <w:sz w:val="28"/>
          <w:szCs w:val="28"/>
        </w:rPr>
        <w:t>АДМИНИСТРАЦИЯ</w:t>
      </w:r>
    </w:p>
    <w:p w:rsidR="00B60503" w:rsidRPr="00B60503" w:rsidRDefault="00B60503" w:rsidP="00B60503">
      <w:pPr>
        <w:jc w:val="center"/>
        <w:rPr>
          <w:b/>
          <w:noProof/>
          <w:sz w:val="28"/>
          <w:szCs w:val="28"/>
        </w:rPr>
      </w:pPr>
      <w:r w:rsidRPr="00B60503">
        <w:rPr>
          <w:b/>
          <w:noProof/>
          <w:sz w:val="28"/>
          <w:szCs w:val="28"/>
        </w:rPr>
        <w:t>МУНИЦИПАЛЬНОГО ОБРАЗОВАНИЯ РЯЗАНОВСКИ СЕЛЬСОВЕТ</w:t>
      </w:r>
      <w:r w:rsidRPr="00B60503">
        <w:rPr>
          <w:b/>
          <w:noProof/>
          <w:sz w:val="28"/>
          <w:szCs w:val="28"/>
        </w:rPr>
        <w:br/>
        <w:t>АСЕКЕЕВСКОГО РАЙОНА ОРЕНБУРГСКОЙ ОБЛАСТИ</w:t>
      </w:r>
    </w:p>
    <w:p w:rsidR="00B60503" w:rsidRPr="00B60503" w:rsidRDefault="00B60503" w:rsidP="00B60503">
      <w:pPr>
        <w:jc w:val="center"/>
        <w:rPr>
          <w:b/>
          <w:noProof/>
          <w:sz w:val="28"/>
          <w:szCs w:val="28"/>
        </w:rPr>
      </w:pPr>
    </w:p>
    <w:p w:rsidR="00B60503" w:rsidRPr="00B60503" w:rsidRDefault="00B60503" w:rsidP="00B60503">
      <w:pPr>
        <w:jc w:val="center"/>
        <w:rPr>
          <w:b/>
          <w:noProof/>
          <w:sz w:val="28"/>
          <w:szCs w:val="28"/>
        </w:rPr>
      </w:pPr>
      <w:r w:rsidRPr="00B60503">
        <w:rPr>
          <w:b/>
          <w:noProof/>
          <w:sz w:val="28"/>
          <w:szCs w:val="28"/>
        </w:rPr>
        <w:t>ПОСТАНОВЛЕНИЕ</w:t>
      </w:r>
    </w:p>
    <w:p w:rsidR="00B60503" w:rsidRPr="00B60503" w:rsidRDefault="00B60503" w:rsidP="00B60503">
      <w:pPr>
        <w:jc w:val="center"/>
        <w:rPr>
          <w:sz w:val="24"/>
          <w:szCs w:val="24"/>
        </w:rPr>
      </w:pPr>
      <w:r w:rsidRPr="00B60503">
        <w:rPr>
          <w:noProof/>
          <w:sz w:val="24"/>
          <w:szCs w:val="28"/>
        </w:rPr>
        <w:t xml:space="preserve"> </w:t>
      </w:r>
      <w:r w:rsidRPr="00B60503">
        <w:rPr>
          <w:sz w:val="24"/>
          <w:szCs w:val="24"/>
        </w:rPr>
        <w:t>====================================================================</w:t>
      </w:r>
    </w:p>
    <w:p w:rsidR="00B60503" w:rsidRPr="00B60503" w:rsidRDefault="00B60503" w:rsidP="00B60503">
      <w:pPr>
        <w:jc w:val="center"/>
        <w:rPr>
          <w:sz w:val="24"/>
          <w:szCs w:val="28"/>
        </w:rPr>
      </w:pPr>
    </w:p>
    <w:p w:rsidR="00B60503" w:rsidRPr="00B60503" w:rsidRDefault="00B60503" w:rsidP="00B60503">
      <w:pPr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Pr="00B6050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B60503">
        <w:rPr>
          <w:b/>
          <w:sz w:val="28"/>
          <w:szCs w:val="28"/>
        </w:rPr>
        <w:t>.2026                                       с. Рязановка                                       № 0</w:t>
      </w:r>
      <w:r>
        <w:rPr>
          <w:b/>
          <w:sz w:val="28"/>
          <w:szCs w:val="28"/>
        </w:rPr>
        <w:t>6</w:t>
      </w:r>
      <w:r w:rsidRPr="00B60503">
        <w:rPr>
          <w:b/>
          <w:sz w:val="28"/>
          <w:szCs w:val="28"/>
        </w:rPr>
        <w:t xml:space="preserve">-п </w:t>
      </w:r>
    </w:p>
    <w:p w:rsidR="00B60503" w:rsidRDefault="00B60503" w:rsidP="00B60503">
      <w:pPr>
        <w:ind w:left="851" w:right="423"/>
        <w:jc w:val="center"/>
        <w:rPr>
          <w:b/>
          <w:sz w:val="28"/>
          <w:szCs w:val="28"/>
        </w:rPr>
      </w:pPr>
    </w:p>
    <w:p w:rsidR="00B60503" w:rsidRDefault="00B60503" w:rsidP="00B60503">
      <w:pPr>
        <w:ind w:left="851" w:right="42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Положения об увековечении памяти погибших (умерших) уроженцев МО Рязановский сельсовет и постоянно проживавших на территории МО Рязановский сельсовет </w:t>
      </w:r>
      <w:proofErr w:type="spellStart"/>
      <w:r>
        <w:rPr>
          <w:b/>
          <w:sz w:val="28"/>
          <w:szCs w:val="28"/>
        </w:rPr>
        <w:t>Асекеевского</w:t>
      </w:r>
      <w:proofErr w:type="spellEnd"/>
      <w:r>
        <w:rPr>
          <w:b/>
          <w:sz w:val="28"/>
          <w:szCs w:val="28"/>
        </w:rPr>
        <w:t xml:space="preserve"> района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</w:t>
      </w:r>
      <w:proofErr w:type="gramStart"/>
      <w:r>
        <w:rPr>
          <w:b/>
          <w:sz w:val="28"/>
          <w:szCs w:val="28"/>
        </w:rPr>
        <w:t>Республики  с</w:t>
      </w:r>
      <w:proofErr w:type="gramEnd"/>
      <w:r>
        <w:rPr>
          <w:b/>
          <w:sz w:val="28"/>
          <w:szCs w:val="28"/>
        </w:rPr>
        <w:t xml:space="preserve"> 24 февраля 2022 года, на территориях Запорожской и Херсонской областей</w:t>
      </w:r>
    </w:p>
    <w:p w:rsidR="00B60503" w:rsidRDefault="00B60503" w:rsidP="00B60503">
      <w:pPr>
        <w:ind w:left="851" w:right="423"/>
        <w:jc w:val="both"/>
        <w:rPr>
          <w:b/>
          <w:sz w:val="28"/>
          <w:szCs w:val="28"/>
        </w:rPr>
      </w:pPr>
    </w:p>
    <w:p w:rsidR="00B60503" w:rsidRDefault="00B60503" w:rsidP="00B60503">
      <w:pPr>
        <w:ind w:left="851" w:right="423"/>
        <w:jc w:val="both"/>
      </w:pPr>
    </w:p>
    <w:p w:rsidR="00B60503" w:rsidRDefault="00B60503" w:rsidP="00B60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Российской Федерации от 14.01.1993 N 4292-1 «Об увековечении памяти погибших при защите Отечества», </w:t>
      </w:r>
      <w:proofErr w:type="gramStart"/>
      <w:r>
        <w:rPr>
          <w:sz w:val="28"/>
          <w:szCs w:val="28"/>
        </w:rPr>
        <w:t>руководствуясь  Уставом</w:t>
      </w:r>
      <w:proofErr w:type="gramEnd"/>
      <w:r>
        <w:rPr>
          <w:sz w:val="28"/>
          <w:szCs w:val="28"/>
        </w:rPr>
        <w:t xml:space="preserve"> муниципального образования Рязановский сельсовет, Администрация МО Рязановский сельсовет постановляет: </w:t>
      </w:r>
    </w:p>
    <w:p w:rsidR="00B60503" w:rsidRPr="00B60503" w:rsidRDefault="00B60503" w:rsidP="00B60503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об увековечении памяти погибших (умерших) уроженцев МО Рязановский сельсовет и постоянно </w:t>
      </w:r>
      <w:r w:rsidRPr="00B60503">
        <w:rPr>
          <w:sz w:val="28"/>
          <w:szCs w:val="28"/>
        </w:rPr>
        <w:t xml:space="preserve">проживавших на территории МО Рязановского сельсовета </w:t>
      </w:r>
      <w:proofErr w:type="spellStart"/>
      <w:r w:rsidRPr="00B60503">
        <w:rPr>
          <w:sz w:val="28"/>
          <w:szCs w:val="28"/>
        </w:rPr>
        <w:t>Асекеевского</w:t>
      </w:r>
      <w:proofErr w:type="spellEnd"/>
      <w:r w:rsidRPr="00B60503">
        <w:rPr>
          <w:sz w:val="28"/>
          <w:szCs w:val="28"/>
        </w:rPr>
        <w:t xml:space="preserve">   района Оренбургской области на дату гибели (смерти) в ходе специальной  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 </w:t>
      </w:r>
    </w:p>
    <w:p w:rsidR="00B60503" w:rsidRDefault="00B60503" w:rsidP="00B60503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>» и разместить на официальном сайте Администрации МО Рязановский сельсовет.</w:t>
      </w:r>
    </w:p>
    <w:p w:rsidR="00B60503" w:rsidRDefault="00B60503" w:rsidP="00B60503">
      <w:pPr>
        <w:jc w:val="both"/>
        <w:rPr>
          <w:sz w:val="28"/>
          <w:szCs w:val="28"/>
        </w:rPr>
      </w:pPr>
    </w:p>
    <w:p w:rsidR="00B60503" w:rsidRDefault="00B60503" w:rsidP="00B60503">
      <w:pPr>
        <w:jc w:val="both"/>
        <w:rPr>
          <w:sz w:val="28"/>
          <w:szCs w:val="28"/>
        </w:rPr>
      </w:pPr>
    </w:p>
    <w:p w:rsidR="00B60503" w:rsidRDefault="00B60503" w:rsidP="00B60503">
      <w:pPr>
        <w:jc w:val="both"/>
        <w:rPr>
          <w:sz w:val="28"/>
          <w:szCs w:val="28"/>
        </w:rPr>
      </w:pPr>
    </w:p>
    <w:p w:rsidR="00B60503" w:rsidRDefault="00B60503" w:rsidP="00B60503">
      <w:pPr>
        <w:jc w:val="both"/>
        <w:rPr>
          <w:sz w:val="28"/>
          <w:szCs w:val="28"/>
        </w:rPr>
      </w:pPr>
    </w:p>
    <w:p w:rsidR="00B60503" w:rsidRDefault="00B60503" w:rsidP="00B6050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О.Н. Шевченко</w:t>
      </w:r>
    </w:p>
    <w:p w:rsidR="00B60503" w:rsidRDefault="00B60503" w:rsidP="00B60503">
      <w:pPr>
        <w:rPr>
          <w:b/>
          <w:sz w:val="24"/>
          <w:szCs w:val="24"/>
        </w:rPr>
      </w:pPr>
    </w:p>
    <w:p w:rsidR="00B60503" w:rsidRDefault="00B60503" w:rsidP="00B60503">
      <w:pPr>
        <w:ind w:left="851" w:right="423"/>
        <w:rPr>
          <w:b/>
          <w:sz w:val="24"/>
          <w:szCs w:val="24"/>
        </w:rPr>
      </w:pPr>
    </w:p>
    <w:p w:rsidR="00B60503" w:rsidRDefault="00B60503" w:rsidP="00B60503">
      <w:pPr>
        <w:ind w:left="851" w:right="423"/>
        <w:rPr>
          <w:b/>
          <w:sz w:val="24"/>
          <w:szCs w:val="24"/>
        </w:rPr>
      </w:pPr>
    </w:p>
    <w:p w:rsidR="00B60503" w:rsidRDefault="00B60503" w:rsidP="00B60503">
      <w:pPr>
        <w:ind w:left="851" w:right="423"/>
      </w:pPr>
    </w:p>
    <w:p w:rsidR="00B60503" w:rsidRPr="00B60503" w:rsidRDefault="00B60503" w:rsidP="00B60503">
      <w:pPr>
        <w:ind w:right="423"/>
        <w:jc w:val="right"/>
        <w:rPr>
          <w:b/>
          <w:sz w:val="24"/>
          <w:szCs w:val="24"/>
        </w:rPr>
      </w:pPr>
      <w:r w:rsidRPr="00B60503">
        <w:rPr>
          <w:b/>
          <w:sz w:val="24"/>
          <w:szCs w:val="24"/>
        </w:rPr>
        <w:lastRenderedPageBreak/>
        <w:t>Утверждено</w:t>
      </w:r>
    </w:p>
    <w:p w:rsidR="00B60503" w:rsidRPr="00B60503" w:rsidRDefault="00B60503" w:rsidP="00B60503">
      <w:pPr>
        <w:ind w:right="423"/>
        <w:jc w:val="right"/>
        <w:rPr>
          <w:b/>
          <w:sz w:val="24"/>
          <w:szCs w:val="24"/>
        </w:rPr>
      </w:pPr>
      <w:r w:rsidRPr="00B60503">
        <w:rPr>
          <w:b/>
          <w:sz w:val="24"/>
          <w:szCs w:val="24"/>
        </w:rPr>
        <w:t>постановлением</w:t>
      </w:r>
    </w:p>
    <w:p w:rsidR="00B60503" w:rsidRPr="00B60503" w:rsidRDefault="00B60503" w:rsidP="00B60503">
      <w:pPr>
        <w:ind w:right="423"/>
        <w:jc w:val="right"/>
        <w:rPr>
          <w:b/>
          <w:sz w:val="24"/>
          <w:szCs w:val="24"/>
        </w:rPr>
      </w:pPr>
      <w:r w:rsidRPr="00B60503">
        <w:rPr>
          <w:b/>
          <w:sz w:val="24"/>
          <w:szCs w:val="24"/>
        </w:rPr>
        <w:t>Администрации МО</w:t>
      </w:r>
    </w:p>
    <w:p w:rsidR="00B60503" w:rsidRPr="00B60503" w:rsidRDefault="00B60503" w:rsidP="00B60503">
      <w:pPr>
        <w:ind w:right="423"/>
        <w:jc w:val="right"/>
        <w:rPr>
          <w:b/>
          <w:sz w:val="24"/>
          <w:szCs w:val="24"/>
        </w:rPr>
      </w:pPr>
      <w:r w:rsidRPr="00B60503">
        <w:rPr>
          <w:b/>
          <w:sz w:val="24"/>
          <w:szCs w:val="24"/>
        </w:rPr>
        <w:t xml:space="preserve"> Рязановский сельсовет</w:t>
      </w:r>
    </w:p>
    <w:p w:rsidR="00B60503" w:rsidRPr="00B60503" w:rsidRDefault="00B60503" w:rsidP="00B60503">
      <w:pPr>
        <w:ind w:right="423"/>
        <w:jc w:val="right"/>
        <w:rPr>
          <w:b/>
          <w:sz w:val="24"/>
          <w:szCs w:val="24"/>
        </w:rPr>
      </w:pPr>
      <w:r w:rsidRPr="00B60503">
        <w:rPr>
          <w:b/>
          <w:sz w:val="24"/>
          <w:szCs w:val="24"/>
        </w:rPr>
        <w:t xml:space="preserve">от </w:t>
      </w:r>
      <w:proofErr w:type="gramStart"/>
      <w:r w:rsidRPr="00B60503">
        <w:rPr>
          <w:b/>
          <w:sz w:val="24"/>
          <w:szCs w:val="24"/>
        </w:rPr>
        <w:t>03.02.2026  N</w:t>
      </w:r>
      <w:proofErr w:type="gramEnd"/>
      <w:r w:rsidRPr="00B605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 w:rsidRPr="00B60503">
        <w:rPr>
          <w:b/>
          <w:sz w:val="24"/>
          <w:szCs w:val="24"/>
        </w:rPr>
        <w:t>6-п</w:t>
      </w:r>
    </w:p>
    <w:p w:rsidR="00B60503" w:rsidRDefault="00B60503" w:rsidP="00B60503">
      <w:pPr>
        <w:ind w:right="423"/>
        <w:jc w:val="right"/>
        <w:rPr>
          <w:b/>
          <w:sz w:val="28"/>
          <w:szCs w:val="28"/>
        </w:rPr>
      </w:pPr>
    </w:p>
    <w:p w:rsidR="00B60503" w:rsidRDefault="00B60503" w:rsidP="00B60503">
      <w:pPr>
        <w:ind w:right="4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об увековечении памяти погибших (умерших) уроженцев </w:t>
      </w:r>
    </w:p>
    <w:p w:rsidR="00B60503" w:rsidRDefault="00B60503" w:rsidP="00B60503">
      <w:pPr>
        <w:ind w:right="4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Рязановский сельсовет и постоянно проживавших на территории</w:t>
      </w:r>
    </w:p>
    <w:p w:rsidR="00B60503" w:rsidRDefault="00B60503" w:rsidP="00B60503">
      <w:pPr>
        <w:ind w:right="4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Рязановский сельсовет </w:t>
      </w:r>
      <w:proofErr w:type="spellStart"/>
      <w:r>
        <w:rPr>
          <w:b/>
          <w:sz w:val="28"/>
          <w:szCs w:val="28"/>
        </w:rPr>
        <w:t>Асекеевского</w:t>
      </w:r>
      <w:proofErr w:type="spellEnd"/>
      <w:r>
        <w:rPr>
          <w:b/>
          <w:sz w:val="28"/>
          <w:szCs w:val="28"/>
        </w:rPr>
        <w:t xml:space="preserve"> района Оренбургской области на дату гибели (смерти) в ходе специальной военной операции на территориях </w:t>
      </w:r>
      <w:proofErr w:type="gramStart"/>
      <w:r>
        <w:rPr>
          <w:b/>
          <w:sz w:val="28"/>
          <w:szCs w:val="28"/>
        </w:rPr>
        <w:t>Украины,  Донецкой</w:t>
      </w:r>
      <w:proofErr w:type="gramEnd"/>
      <w:r>
        <w:rPr>
          <w:b/>
          <w:sz w:val="28"/>
          <w:szCs w:val="28"/>
        </w:rPr>
        <w:t xml:space="preserve"> Народной Республики и Луганской Народной Республики с 24 февраля 2022 года, на территориях Запорожской и Херсонской областей</w:t>
      </w:r>
    </w:p>
    <w:p w:rsidR="00B60503" w:rsidRDefault="00B60503" w:rsidP="00B60503">
      <w:pPr>
        <w:ind w:right="423"/>
        <w:jc w:val="right"/>
      </w:pPr>
    </w:p>
    <w:p w:rsidR="00B60503" w:rsidRDefault="00B60503" w:rsidP="00B60503">
      <w:pPr>
        <w:ind w:right="423"/>
        <w:jc w:val="both"/>
      </w:pPr>
    </w:p>
    <w:p w:rsidR="00B60503" w:rsidRDefault="00B60503" w:rsidP="00B60503">
      <w:pPr>
        <w:ind w:right="4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1. ОБЩИЕ ПОЛОЖЕНИЯ</w:t>
      </w:r>
    </w:p>
    <w:p w:rsidR="00B60503" w:rsidRDefault="00B60503" w:rsidP="00B60503">
      <w:pPr>
        <w:ind w:right="423"/>
        <w:jc w:val="center"/>
        <w:rPr>
          <w:b/>
          <w:sz w:val="24"/>
          <w:szCs w:val="24"/>
        </w:rPr>
      </w:pP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1.1. Настоящее Положение об увековечении памяти погибших (умерших) уроженцев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 и постоянно проживавших на территории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- Положение) разработано в соответствии с Законом Российской Федерации о</w:t>
      </w:r>
      <w:r w:rsidR="00D24332">
        <w:rPr>
          <w:sz w:val="24"/>
          <w:szCs w:val="24"/>
        </w:rPr>
        <w:t>т 14 января 1993 года N 4292-1 «</w:t>
      </w:r>
      <w:r>
        <w:rPr>
          <w:sz w:val="24"/>
          <w:szCs w:val="24"/>
        </w:rPr>
        <w:t>Об увековечении памяти погибших при Защите Отечества</w:t>
      </w:r>
      <w:r w:rsidR="00D24332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Постоянное проживание погибшего (умершего) на территории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 подтверждается регистрацией по месту жительства на территории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области, решением суда об установлении факта постоянного проживания, погибшего (умершего) на территории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области, выпиской из домовой книги.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</w:p>
    <w:p w:rsidR="00B60503" w:rsidRDefault="00B60503" w:rsidP="00B60503">
      <w:pPr>
        <w:ind w:right="4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2. ФОРМЫ УВЕКОВЕЧЕНИЯ ПАМЯТИ ПОГИБШИХ (УМЕРШИХ) УРОЖЕНЦЕВ МО РЯЗАНОВСКИЙ СЕЛЬСОВЕТ АСЕКЕЕВСКОГО РАЙОНА ОРЕНБУРГСКОЙ ОБЛАСТИ В ХОДЕ СПЕЦИАЛЬНОЙ ВОЕННОЙ ОПЕРАЦИИ</w:t>
      </w:r>
    </w:p>
    <w:p w:rsidR="00B60503" w:rsidRDefault="00B60503" w:rsidP="00B60503">
      <w:pPr>
        <w:ind w:right="423"/>
        <w:jc w:val="both"/>
        <w:rPr>
          <w:b/>
          <w:sz w:val="24"/>
          <w:szCs w:val="24"/>
        </w:rPr>
      </w:pP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Основными формами увековечения памяти погибших (умерших) уроженцев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 в ходе специальной военной операции являются: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создание и ведение Книг Памяти о погибших (умерших) уроженцах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 в ходе специальной военной операции;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присвоение имен погибших (умерших) уроженцев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</w:t>
      </w:r>
      <w:proofErr w:type="spellStart"/>
      <w:r>
        <w:rPr>
          <w:sz w:val="24"/>
          <w:szCs w:val="24"/>
        </w:rPr>
        <w:t>билбордах</w:t>
      </w:r>
      <w:proofErr w:type="spellEnd"/>
      <w:r>
        <w:rPr>
          <w:sz w:val="24"/>
          <w:szCs w:val="24"/>
        </w:rPr>
        <w:t xml:space="preserve">);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3) создание уголков воинской доблести, музеев славы, выставок героических подвигах погибших (умерших) уроженцев МО</w:t>
      </w:r>
      <w:r>
        <w:t xml:space="preserve"> </w:t>
      </w:r>
      <w:r>
        <w:rPr>
          <w:sz w:val="24"/>
          <w:szCs w:val="24"/>
        </w:rPr>
        <w:t xml:space="preserve">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района  Оренбургской</w:t>
      </w:r>
      <w:proofErr w:type="gramEnd"/>
      <w:r>
        <w:rPr>
          <w:sz w:val="24"/>
          <w:szCs w:val="24"/>
        </w:rPr>
        <w:t xml:space="preserve"> области в ходе специальной военной операции;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4) установка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погибшим (умершим) уроженцам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 в ходе специальной военной операции;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публикации в средствах массовой информации и в информационно телекоммуникационной сети «Интернет» материалов о погибших (умерших) уроженцах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 в ходе специальной военной операции, посвященных их подвигам;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6) проведение военно-патриотических уроков, спортивных мероприятий, посвященных памяти погибших (умерших) уроженцев МО</w:t>
      </w:r>
      <w:r>
        <w:t xml:space="preserve"> </w:t>
      </w:r>
      <w:r>
        <w:rPr>
          <w:sz w:val="24"/>
          <w:szCs w:val="24"/>
        </w:rPr>
        <w:t xml:space="preserve">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района  Оренбургской</w:t>
      </w:r>
      <w:proofErr w:type="gramEnd"/>
      <w:r>
        <w:rPr>
          <w:sz w:val="24"/>
          <w:szCs w:val="24"/>
        </w:rPr>
        <w:t xml:space="preserve"> области в ходе специальной военной операции;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содействие деятельности патриотических клубов, молодежных организаций.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</w:p>
    <w:p w:rsidR="00B60503" w:rsidRDefault="00B60503" w:rsidP="00B60503">
      <w:pPr>
        <w:ind w:right="4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3. КРИТЕРИИ ДЛЯ ПРИНЯТИЯ РЕШЕНИЯ ОБ УСТАНОВКЕ МЕМОРИАЛЬНОЙ ДОСКИ, ДРУГОГО ПАМЯТНОГО ЗНАКА, АРТ-ОБЪЕКТА (В ТОМ ЧИСЛЕ МУРАЛА)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Критерием для принятия решения об установке мемориальной доски, других памятных знаков,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Рассмотрение вопроса об установке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производится по истечении не менее 6 месяцев и не позднее 5 лет со дня окончания специальной военной операции.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не распространяются.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</w:p>
    <w:p w:rsidR="00B60503" w:rsidRDefault="00B60503" w:rsidP="00B60503">
      <w:pPr>
        <w:ind w:right="4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4. ПОРЯДОК НАПРАВЛЕНИЯ ХОДАТАЙСТВ ОБ УСТАНОВКЕ МЕМОРИАЛЬНОЙ ДОСКИ, ДРУГОГО ПАМЯТНОГО ЗНАКА, АРТ-ОБЪЕКТА (В ТОМ ЧИСЛЕ МУРАЛА)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4.1. С инициативой об установке мемориальной доски, другого памятного знака, </w:t>
      </w:r>
      <w:proofErr w:type="spellStart"/>
      <w:r>
        <w:rPr>
          <w:sz w:val="24"/>
          <w:szCs w:val="24"/>
        </w:rPr>
        <w:t>артобъекта</w:t>
      </w:r>
      <w:proofErr w:type="spellEnd"/>
      <w:r>
        <w:rPr>
          <w:sz w:val="24"/>
          <w:szCs w:val="24"/>
        </w:rPr>
        <w:t xml:space="preserve">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Письменное ходатайство об установке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), содержащее просьбу об увековечении памяти погибшего (умершего) уроженца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Оренбургской области при выполнении воинского долга в ходе специальной военной операции лица (далее - ходатайство), и документы, указанные в пункте 4.3 настоящего Положения направляются в Администрацию МО</w:t>
      </w:r>
      <w:r>
        <w:t xml:space="preserve"> </w:t>
      </w:r>
      <w:r>
        <w:rPr>
          <w:sz w:val="24"/>
          <w:szCs w:val="24"/>
        </w:rPr>
        <w:t>Рязановский</w:t>
      </w:r>
      <w:r w:rsidR="00D243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 на имя Главы Администрации МО</w:t>
      </w:r>
      <w:r>
        <w:t xml:space="preserve"> </w:t>
      </w:r>
      <w:r>
        <w:rPr>
          <w:sz w:val="24"/>
          <w:szCs w:val="24"/>
        </w:rPr>
        <w:t xml:space="preserve">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. 4.3. В перечень документов, представляемых для увековечения, входят: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1) ходатайство гражданина (организации);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выписка из домовой книги с указанием периода проживания увековечиваемого лица по месту увековечения;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4) предложение по форме увековечения; сведения о предполагаемом месте установки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с обоснованием его выбора;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предложение по тексту надписи;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производятся за счет инициатора;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письменное обязательство ходатайствующего гражданина о финансировании работ, либо уведомление о невозможности осуществления финансирования.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Место установки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должно быть одобрено Комиссией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и собственником здания. Администрация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Администрация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направляет свое мотивированное заключение в Комиссию муниципального образования для предварительного рассмотрения вопросов, связанных с увековечением памяти о выдающихся событиях и личностях (далее - Комиссия).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</w:p>
    <w:p w:rsidR="00B60503" w:rsidRDefault="00B60503" w:rsidP="00B60503">
      <w:pPr>
        <w:ind w:right="4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5. ПОРЯДОК РАССМОТРЕНИЯ ХОДАТАЙСТВ И ПРИНЯТИЯ РЕШЕНИЙ ПО НИМ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Поступившее на имя Главы Администрации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ходатайство и документы в течение 2 рабочих дней передаются на рассмотрение Комиссии.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Комиссия рассматривает ходатайство и проверяет прилагаемые к нему документы в течение 20 календарных дней со дня их регистрации.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Комиссия вправе провести опрос общественного мнения по рассматриваемым ходатайствам.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По результатам рассмотрения ходатайства и документов, указанных в пункте 4.3 настоящего Положения, Комиссия принимает одно из следующих решений: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рекомендовать ходатайствующей стороне увековечить память погибшего в других формах;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перенести рассмотрение ходатайств на срок, определяемый Комиссией муниципального образования, в связи с необходимостью получения дополнительных сведений и документов или по другим причинам, установленным Комиссией муниципального образования;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Решения, принятые Комиссией, оформляются протоколом.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При принятии решения, предусмотренного подпунктом 1 пункта 5.4 настоящего Положения, Комиссия готовит проект постановления Администрации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об установке мемориальной доски, другого памятного знака и направляет его на подписание Главе Администрации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В постановлении Администрации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 об установке мемориальной доски, другого памятного знака указываются: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адрес места установки мемориальной доски, другого памятного знака;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содержание надписи;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3) срок установки мемориальной доски, другого памятного знака;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4) источник финансового обеспечения работ по проектированию, изготовлению и установке мемориальной доски, другого памятного знака;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5) ответственное лицо. Предельный срок эксплуатации баннера: Вертикального - 2 месяца; Горизонтального - 3 месяца. Хранение демонтированного баннера осуществляется Администрацией МО</w:t>
      </w:r>
      <w:r>
        <w:t xml:space="preserve"> </w:t>
      </w:r>
      <w:r>
        <w:rPr>
          <w:sz w:val="24"/>
          <w:szCs w:val="24"/>
        </w:rPr>
        <w:t xml:space="preserve">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района  в</w:t>
      </w:r>
      <w:proofErr w:type="gramEnd"/>
      <w:r>
        <w:rPr>
          <w:sz w:val="24"/>
          <w:szCs w:val="24"/>
        </w:rPr>
        <w:t xml:space="preserve">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5.9. Мемориальная доска, другой памятный знак устанавливаются за счет бюджетных средств МО Рязановский сельсовет </w:t>
      </w:r>
      <w:proofErr w:type="spellStart"/>
      <w:r>
        <w:rPr>
          <w:sz w:val="24"/>
          <w:szCs w:val="24"/>
        </w:rPr>
        <w:t>Асекеевского</w:t>
      </w:r>
      <w:proofErr w:type="spellEnd"/>
      <w:r>
        <w:rPr>
          <w:sz w:val="24"/>
          <w:szCs w:val="24"/>
        </w:rPr>
        <w:t xml:space="preserve"> района.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Допускается также установка мемориальной доски, другого памятного знака за счет внебюджетных средств.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</w:p>
    <w:p w:rsidR="00B60503" w:rsidRDefault="00B60503" w:rsidP="00B60503">
      <w:pPr>
        <w:ind w:right="4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6. АРХИТЕКТУРНО-ХУДОЖЕСТВЕННЫЕ ТРЕБОВАНИЯ, ПРЕДЪЯВЛЯЕМЫЕ К МЕМОРИАЛЬНОЙ ДОСКЕ, ДРУГОМУ ПАМЯТНОМУ ЗНАКУ, АРТ-ОБЪЕКТА (В ТОМ ЧИСЛЕ МУРАЛА)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Архитектурно-художественное решение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>) не должно противоречить характеру места его установки, особенностям среды, в которую он привносится как новый элемент.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учитываются следующие требования: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текст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должен быть оформлен в лаконичной форме и содержать полностью фамилию, имя, отчество увековечиваемого лица на русском языке;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тексте мемориальной доски, другого памятного знака, арт-объекта (в том числе </w:t>
      </w:r>
      <w:proofErr w:type="spellStart"/>
      <w:r>
        <w:rPr>
          <w:sz w:val="24"/>
          <w:szCs w:val="24"/>
        </w:rPr>
        <w:t>мурала</w:t>
      </w:r>
      <w:proofErr w:type="spellEnd"/>
      <w:r>
        <w:rPr>
          <w:sz w:val="24"/>
          <w:szCs w:val="24"/>
        </w:rPr>
        <w:t xml:space="preserve">) обязательны сведения о заслугах увековечиваемого лица;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в композицию мемориальной доски кроме текста могут включаться портретные изображения, декоративные элементы, подсветка; 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B60503" w:rsidRDefault="00B60503" w:rsidP="00B60503">
      <w:pPr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bookmarkEnd w:id="0"/>
    <w:p w:rsidR="000B1FA0" w:rsidRDefault="000B1FA0"/>
    <w:sectPr w:rsidR="000B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A038D"/>
    <w:multiLevelType w:val="hybridMultilevel"/>
    <w:tmpl w:val="9438AD28"/>
    <w:lvl w:ilvl="0" w:tplc="AA32D4F0">
      <w:start w:val="1"/>
      <w:numFmt w:val="decimal"/>
      <w:lvlText w:val="%1."/>
      <w:lvlJc w:val="left"/>
      <w:pPr>
        <w:ind w:left="1226" w:hanging="37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17"/>
    <w:rsid w:val="000B1FA0"/>
    <w:rsid w:val="00996583"/>
    <w:rsid w:val="00B60503"/>
    <w:rsid w:val="00D24332"/>
    <w:rsid w:val="00F3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B1553-1A48-44DE-8354-8D79C82B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3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2026-02-04T10:58:00Z</cp:lastPrinted>
  <dcterms:created xsi:type="dcterms:W3CDTF">2026-02-04T10:45:00Z</dcterms:created>
  <dcterms:modified xsi:type="dcterms:W3CDTF">2026-02-04T11:00:00Z</dcterms:modified>
</cp:coreProperties>
</file>