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FE" w:rsidRPr="00615F1B" w:rsidRDefault="003635FE" w:rsidP="003635FE">
      <w:pPr>
        <w:spacing w:after="0" w:line="240" w:lineRule="auto"/>
        <w:jc w:val="center"/>
        <w:rPr>
          <w:rFonts w:ascii="Times New Roman" w:hAnsi="Times New Roman"/>
          <w:noProof/>
          <w:szCs w:val="20"/>
          <w:lang w:eastAsia="ru-RU"/>
        </w:rPr>
      </w:pPr>
      <w:r>
        <w:rPr>
          <w:noProof/>
          <w:szCs w:val="20"/>
          <w:lang w:eastAsia="ru-RU"/>
        </w:rPr>
        <w:drawing>
          <wp:inline distT="0" distB="0" distL="0" distR="0">
            <wp:extent cx="501015" cy="628015"/>
            <wp:effectExtent l="19050" t="0" r="0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5FE" w:rsidRPr="00615F1B" w:rsidRDefault="003635FE" w:rsidP="003635FE">
      <w:pPr>
        <w:spacing w:after="0" w:line="240" w:lineRule="auto"/>
        <w:rPr>
          <w:rFonts w:ascii="Calibri" w:hAnsi="Calibri"/>
          <w:noProof/>
          <w:szCs w:val="20"/>
          <w:lang w:eastAsia="ru-RU"/>
        </w:rPr>
      </w:pPr>
    </w:p>
    <w:p w:rsidR="003635FE" w:rsidRPr="002624EC" w:rsidRDefault="003635FE" w:rsidP="003635F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3635FE" w:rsidRPr="002624EC" w:rsidRDefault="003635FE" w:rsidP="003635F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eastAsia="ru-RU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  <w:lang w:eastAsia="ru-RU"/>
        </w:rPr>
        <w:br/>
        <w:t>АСЕКЕЕВСКОГО РАЙОНА ОРЕНБУРГСКОЙ ОБЛАСТИ</w:t>
      </w:r>
    </w:p>
    <w:p w:rsidR="003635FE" w:rsidRPr="002624EC" w:rsidRDefault="003635FE" w:rsidP="003635F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635FE" w:rsidRPr="002624EC" w:rsidRDefault="003635FE" w:rsidP="003635F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ПОСТАНОВЛЕ</w:t>
      </w:r>
      <w:r w:rsidRPr="002624EC">
        <w:rPr>
          <w:rFonts w:ascii="Times New Roman" w:hAnsi="Times New Roman"/>
          <w:b/>
          <w:noProof/>
          <w:sz w:val="28"/>
          <w:szCs w:val="28"/>
          <w:lang w:eastAsia="ru-RU"/>
        </w:rPr>
        <w:t>НИЕ</w:t>
      </w:r>
    </w:p>
    <w:p w:rsidR="003635FE" w:rsidRPr="002624EC" w:rsidRDefault="003635FE" w:rsidP="003635F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624EC">
        <w:rPr>
          <w:rFonts w:ascii="Times New Roman" w:eastAsia="Times New Roman" w:hAnsi="Times New Roman"/>
          <w:lang w:eastAsia="ru-RU"/>
        </w:rPr>
        <w:t>=====================================================================</w:t>
      </w:r>
    </w:p>
    <w:p w:rsidR="003635FE" w:rsidRPr="002624EC" w:rsidRDefault="003635FE" w:rsidP="003635FE">
      <w:pPr>
        <w:rPr>
          <w:rFonts w:ascii="Times New Roman" w:hAnsi="Times New Roman"/>
          <w:sz w:val="28"/>
          <w:szCs w:val="28"/>
        </w:rPr>
      </w:pPr>
    </w:p>
    <w:p w:rsidR="003635FE" w:rsidRPr="006060C0" w:rsidRDefault="003635FE" w:rsidP="003635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01830">
        <w:rPr>
          <w:rFonts w:ascii="Times New Roman" w:hAnsi="Times New Roman"/>
          <w:sz w:val="28"/>
          <w:szCs w:val="28"/>
        </w:rPr>
        <w:t xml:space="preserve"> </w:t>
      </w:r>
      <w:r w:rsidRPr="006060C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Pr="006060C0">
        <w:rPr>
          <w:rFonts w:ascii="Times New Roman" w:hAnsi="Times New Roman"/>
          <w:b/>
          <w:sz w:val="28"/>
          <w:szCs w:val="28"/>
        </w:rPr>
        <w:t>.11.201</w:t>
      </w:r>
      <w:r>
        <w:rPr>
          <w:rFonts w:ascii="Times New Roman" w:hAnsi="Times New Roman"/>
          <w:b/>
          <w:sz w:val="28"/>
          <w:szCs w:val="28"/>
        </w:rPr>
        <w:t>9</w:t>
      </w:r>
      <w:r w:rsidRPr="006060C0">
        <w:rPr>
          <w:rFonts w:ascii="Times New Roman" w:hAnsi="Times New Roman"/>
          <w:b/>
          <w:sz w:val="28"/>
          <w:szCs w:val="28"/>
        </w:rPr>
        <w:t xml:space="preserve">                                       с. Рязановка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44</w:t>
      </w:r>
      <w:r w:rsidRPr="006060C0">
        <w:rPr>
          <w:rFonts w:ascii="Times New Roman" w:hAnsi="Times New Roman"/>
          <w:b/>
          <w:sz w:val="28"/>
          <w:szCs w:val="28"/>
        </w:rPr>
        <w:t xml:space="preserve">-п </w:t>
      </w:r>
    </w:p>
    <w:p w:rsidR="003635FE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635FE" w:rsidRPr="006060C0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60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основных направлениях бюджетной и налоговой политики</w:t>
      </w:r>
    </w:p>
    <w:p w:rsidR="003635FE" w:rsidRPr="006060C0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60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Рязановс</w:t>
      </w:r>
      <w:r w:rsidRPr="006060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кий сельсовет на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</w:t>
      </w:r>
      <w:r w:rsidRPr="006060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6060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годы</w:t>
      </w:r>
    </w:p>
    <w:p w:rsidR="003635FE" w:rsidRPr="000669C1" w:rsidRDefault="003635FE" w:rsidP="00363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635FE" w:rsidRPr="000669C1" w:rsidRDefault="003635FE" w:rsidP="00363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635FE" w:rsidRPr="00646545" w:rsidRDefault="003635FE" w:rsidP="003635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со статьей 184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2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Бюджетного кодекса Российской Федерации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Рязановского сельсовета от 14.03.2017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44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Рязановский сельсовет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35FE" w:rsidRPr="00646545" w:rsidRDefault="003635FE" w:rsidP="00363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FE" w:rsidRPr="00646545" w:rsidRDefault="003635FE" w:rsidP="00363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635FE" w:rsidRPr="00646545" w:rsidRDefault="003635FE" w:rsidP="00363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основные </w:t>
      </w:r>
      <w:hyperlink r:id="rId5" w:history="1">
        <w:r w:rsidRPr="006465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направления</w:t>
        </w:r>
      </w:hyperlink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политики администрации муниципального образования Рязановский</w:t>
      </w:r>
      <w:r w:rsidRP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F65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– 2024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 к настоящему постановлению.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Вступает в силу со дня его официального опубликования.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 </w:t>
      </w:r>
      <w:proofErr w:type="gramStart"/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Контроль за</w:t>
      </w:r>
      <w:proofErr w:type="gramEnd"/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3635FE" w:rsidRPr="00646545" w:rsidRDefault="003635FE" w:rsidP="00363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FE" w:rsidRDefault="003635FE" w:rsidP="00363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FE" w:rsidRDefault="003635FE" w:rsidP="00363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FE" w:rsidRPr="00646545" w:rsidRDefault="003635FE" w:rsidP="00363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FE" w:rsidRPr="00646545" w:rsidRDefault="003635FE" w:rsidP="00363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FE" w:rsidRPr="00402D1B" w:rsidRDefault="003635FE" w:rsidP="003635FE">
      <w:pPr>
        <w:tabs>
          <w:tab w:val="left" w:pos="1755"/>
        </w:tabs>
        <w:jc w:val="both"/>
        <w:rPr>
          <w:sz w:val="28"/>
          <w:szCs w:val="28"/>
        </w:rPr>
      </w:pPr>
      <w:r w:rsidRPr="00F81EA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81EA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А.В. Брусилов</w:t>
      </w:r>
    </w:p>
    <w:p w:rsidR="003635FE" w:rsidRDefault="003635FE" w:rsidP="00363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FE" w:rsidRPr="00646545" w:rsidRDefault="003635FE" w:rsidP="00363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администрации района, прокурору района, в дело.</w:t>
      </w:r>
    </w:p>
    <w:p w:rsidR="003635FE" w:rsidRPr="00646545" w:rsidRDefault="003635FE" w:rsidP="003635FE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635FE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 сельсовет</w:t>
      </w:r>
    </w:p>
    <w:p w:rsidR="003635FE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14.11.2019  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44-п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бюджетной и налоговой политики </w:t>
      </w:r>
    </w:p>
    <w:p w:rsidR="003635FE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Рязановский сельсовет </w:t>
      </w:r>
    </w:p>
    <w:p w:rsidR="003635FE" w:rsidRPr="00F81EA6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 – 2024</w:t>
      </w:r>
      <w:r w:rsidRPr="00646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 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FE" w:rsidRDefault="003635FE" w:rsidP="003635FE">
      <w:pPr>
        <w:pStyle w:val="a6"/>
        <w:rPr>
          <w:sz w:val="28"/>
        </w:rPr>
      </w:pPr>
      <w:r>
        <w:rPr>
          <w:b/>
          <w:bCs/>
          <w:sz w:val="28"/>
        </w:rPr>
        <w:t>Основные направления бюджетной политики.</w:t>
      </w:r>
    </w:p>
    <w:p w:rsidR="003635FE" w:rsidRDefault="003635FE" w:rsidP="003635FE">
      <w:pPr>
        <w:pStyle w:val="a6"/>
        <w:rPr>
          <w:sz w:val="28"/>
        </w:rPr>
      </w:pP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целями, поставленными Бюджетным посланием Президента 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Российской Федерации, являются обеспечение сбалансированности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устойчивости бюджетной системы как базового принципа ответственной </w:t>
      </w:r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бюджетной политики при безусловном исполнении всех обязательств государства,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задач, поставленных в указе Президента Российской Федерации.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Достижению данных целей будут способствовать развитие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планирования, укрепление 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потенциала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и исполнение бюджета поселения на основе муниципальных программ, жесткое соблюдение бюджетных правил при планировании бюджетных расходов, эффективное использование бюджетных ресурсов.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Сбалансированность и устойчивость бюджетной системы. 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программно-целевых методов управления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увеличения уровня бюджетного планирования и обеспечения сбалансированности необходимы разработка и принятие прогноза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иально-экономического развития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данного документа должна быть осуществлена уже для формирования следующего трехлетнего бюджета на основе задач и подходов, предусмотренных в аналогичных областных документах.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инструментами достижени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целей муниципальной политики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прогнозом социаль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но-экономического развития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основой для бюджетного планирования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муниципальные программы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станут основным механизмом бюджетного планирования.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расходы на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направления </w:t>
      </w:r>
      <w:proofErr w:type="gram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 администрации Рязановского сельсовета</w:t>
      </w:r>
      <w:proofErr w:type="gramEnd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финансово-экономически обоснованы, их удельный вес в бюджете не значителен.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2020 – 2024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будет продолжена взвешенная долговая политика, направленная на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размера муниципального долга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дефицита бюджета поселения с учетом требований бюджетного законодательства.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FE" w:rsidRPr="00BF6AE9" w:rsidRDefault="003635FE" w:rsidP="00363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налоговой политики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политики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поддержка инвестиционной деятельности, повышение предпринимательской активности, </w:t>
      </w:r>
      <w:r w:rsidRPr="00646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для обеспечения сбалансированности и устойчивости бюджета поселения. 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продолжена ежегодная оценка эффективности социальных, бюджетных, экономических стимулов расширения налоговой базы за счет установления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льгот, а также приняты меры по отмене при их неэффективности.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налогового потенциала поселения предусматривается за счет принимаемых мер по сокращению убыточной деятельности в реальном секторе экономики, снижению задолженности по платежам в бюджет.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практика ведения мониторинга изменений федерального и областного налогового законодательства и внесение соответствующих изменений в правовые акты муниципального образования.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направлением остается разработка и реализация механизмов </w:t>
      </w:r>
      <w:proofErr w:type="gram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доходов бюджета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снижением недоимки.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FE" w:rsidRPr="00BF6AE9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Приоритеты бюджетных расходов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бюджетной политики в сфере расходов будет являться улу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чшение условий жизни населения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адресное решение социальных проблем, предоставление качественных муниципальных услуг на основе целей и задач, определенных указом Президента Российской Федерации и прогнозом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иально-экономического развития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реализация указа Президента Российской Федерации от 07.05.2012 (далее – указ Президента Российской Федерации), в том числе по повышению заработной платы работникам бюджетного сектора экономики. На эти цели в первоочередном порядке будут направлены ресурсы, высвобождаемые в результате реализации мер по оптимизации расходов бюджета поселения.</w:t>
      </w:r>
    </w:p>
    <w:p w:rsidR="003635FE" w:rsidRPr="00646545" w:rsidRDefault="003635FE" w:rsidP="003635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продолжена работа по переходу на «эффективный контракт», включающий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услуг. 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оптимизация структуры бюджетных расходов</w:t>
      </w:r>
    </w:p>
    <w:p w:rsidR="003635FE" w:rsidRPr="00646545" w:rsidRDefault="003635FE" w:rsidP="003635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</w:t>
      </w:r>
    </w:p>
    <w:p w:rsidR="003635FE" w:rsidRPr="00646545" w:rsidRDefault="003635FE" w:rsidP="003635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Приоритезация расходов в обязательном порядке предполагает выбор приоритетных расходных обязательств, позволяющих достичь наилучшего результата. Этому будет способствовать повышение ответственности и заинтересованности ответственных исполнителей муниципальных 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достижение целей муниципальной политики в сфере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иально-экономического развития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своевременного и эффективного использования сре</w:t>
      </w:r>
      <w:proofErr w:type="gram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одолжится применение «бюджетных правил», которые предусматривались при формировании бюджета на 2013 – 2015 годы. При формировании базовых расходов бюджета поселения будет учитываться наличие проектной (сметной) документации, положительное заключение экспертизы на объекты строительства, реконструкции и капитального ремонта.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мобилизации ресурсов будет продолжена работа по оптимизации структуры бюджетных расходов за счет повышения эффективности расходов и их концентрации на приоритетных задачах, сформулированных в указе Президента Российской Федерации.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резервами повышения эффективности использования бюджетных средств будет являться оптимизация расходов на закупку товаров, работ, услуг для муниципальных нужд. 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бюджета поселения на 2020 – 2024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предусматривается сокращение на 5 процентов расходов на закупку товаров, работ и услуг для муниципальных нужд (за исключением </w:t>
      </w:r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финансового обеспечения муниципальных услуг, оказываемых муниципальными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обслуживание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бюджетных ассигнований дорожного фонда. 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 реализацию положений указа Президента Российской Федерации предусматриваются исходя из прогнозных данных о среднемесячной заработной плате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Оренбургской области на 2020 – 2024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 в размере 2/3 потребности, при условии изыскания 1/3 необходимых средств за счет повышения эффективности 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муниципальных учреждений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(ограничение фонда оплаты труда прочего персонала и т.д.), реорганизации неэффект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муниципальных учреждений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мероприятий.</w:t>
      </w:r>
    </w:p>
    <w:p w:rsidR="003635FE" w:rsidRPr="00646545" w:rsidRDefault="003635FE" w:rsidP="003635F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бюджета поселения на 2020 – 2024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будут уточнены объемы принятых обязательств с учетом прекращающихся расходных обязательств ограниченного срока действия и измен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контингента получателей,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отраслях социальной сферы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повышение их эффективности, оптимизацию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муниципальных учреждений администрации Рязановского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35FE" w:rsidRPr="00646545" w:rsidRDefault="003635FE" w:rsidP="003635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Продолжится оптимизация расходов по содержанию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органа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Рязановского сельсовета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нормирования управленческих расходов в части материальных затрат.  Дополнительно предусматривается нормирование командировочных расходов в части стоимости найма жилого помещения и проезда к месту командирования работников.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формирования программного бюджета расходы на содержание аппарата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ответственным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нителем муниципальных программ администрации Рязановского сельсовет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будут включены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FE" w:rsidRPr="00BF6AE9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межбюджетных отношений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бюджетный период станет важным этапом развития межбюджетных отношений в связи с необходимостью принятия трехлетнего бюджета в программном формате, обеспечения реализации указа Президента Российской Федерации и дальнейшего изменения в разграничении полномочий.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указа Президента Российской Федерации бюджетам поселений предусматривается продолжить предоставление дополнительной финансовой помощи на повышение заработной платы отдельным категориям работников бюджетной сферы.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качественного бюджетного 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 местного самоуправления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обеспечить принятие сбалансиров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бюджета поселения на 2020 – 2024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программном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 в срок до 1 января 2020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с учетом выявления резервов и их перераспределения в пользу приоритетных направлений и проектов, прежде всего обеспечивающих решение поставленных в указе Президента Российской Федерации задач и создающих условия для</w:t>
      </w:r>
      <w:proofErr w:type="gramEnd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развития. </w:t>
      </w:r>
    </w:p>
    <w:p w:rsidR="003635FE" w:rsidRPr="00646545" w:rsidRDefault="003635FE" w:rsidP="003635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FE" w:rsidRPr="00BF6AE9" w:rsidRDefault="003635FE" w:rsidP="00363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Повышение прозрачности</w:t>
      </w:r>
    </w:p>
    <w:p w:rsidR="003635FE" w:rsidRPr="00BF6AE9" w:rsidRDefault="003635FE" w:rsidP="00363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открытости бюджетного процесса</w:t>
      </w:r>
    </w:p>
    <w:p w:rsidR="003635FE" w:rsidRPr="00646545" w:rsidRDefault="003635FE" w:rsidP="003635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открытости и подконтрольности бюджетного процесса будет способствовать проведение публичных слушаний по проекту бюджета поселения, отчету о его исполнении, а также о наиболее крупных муниципальных закупках.</w:t>
      </w:r>
    </w:p>
    <w:p w:rsidR="003635FE" w:rsidRPr="00646545" w:rsidRDefault="003635FE" w:rsidP="003635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целях информирования населения в информационно-телекоммуникационной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будет регулярно  </w:t>
      </w:r>
      <w:proofErr w:type="gram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размещаться</w:t>
      </w:r>
      <w:proofErr w:type="gramEnd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обновляться брошюра «Бюджет для граждан».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местного самоуправления необходимо также регулярно </w:t>
      </w:r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публиковать и размещать в информационно-коммуникационной сети «Интернет»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принятии и исполнении бюджета в понятной для граждан информативной и компактной форме. Это позволит им составить представление и обладать актуальной и достоверной информацией о направлениях расходования бюджетных средств, целевом их использовании.</w:t>
      </w:r>
    </w:p>
    <w:p w:rsidR="003635FE" w:rsidRPr="00BF6AE9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A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Развитие и повышение эффективности</w:t>
      </w:r>
    </w:p>
    <w:p w:rsidR="003635FE" w:rsidRPr="00BF6AE9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AE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финансового контроля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45">
        <w:rPr>
          <w:rFonts w:ascii="Times New Roman" w:eastAsia="Times New Roman" w:hAnsi="Times New Roman" w:cs="Times New Roman"/>
          <w:sz w:val="28"/>
          <w:szCs w:val="28"/>
        </w:rPr>
        <w:t>В текущем году и среднесрочной перспективе получит дальнейшее развитие система муниципального 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</w:rPr>
        <w:t xml:space="preserve">В связи с внесенными Федеральным законом от 23.07.2013 № 252-ФЗ «О внесении изменений в Бюджетный кодекс Российской Федерации и отдельные законодательные акты Российской Федерации» изменениями в 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</w:rPr>
        <w:t>Бюджетный кодекс Российской Федерации</w:t>
      </w:r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части регулирования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контроля и ответственности за нарушение бюджетного законодательства </w:t>
      </w:r>
      <w:r w:rsidRPr="0064654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6545">
        <w:rPr>
          <w:rFonts w:ascii="Times New Roman" w:eastAsia="Times New Roman" w:hAnsi="Times New Roman" w:cs="Times New Roman"/>
          <w:sz w:val="28"/>
          <w:szCs w:val="28"/>
        </w:rPr>
        <w:t xml:space="preserve"> а также на основании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6" w:history="1">
        <w:proofErr w:type="gramStart"/>
        <w:r w:rsidRPr="006465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05.04.2013 № 44-ФЗ «О</w:t>
      </w:r>
      <w:r w:rsidRPr="00646545">
        <w:rPr>
          <w:rFonts w:ascii="Times New Roman" w:eastAsia="Calibri" w:hAnsi="Times New Roman" w:cs="Times New Roman"/>
          <w:sz w:val="28"/>
          <w:szCs w:val="28"/>
        </w:rPr>
        <w:t xml:space="preserve"> контрактной системе в сфере </w:t>
      </w:r>
      <w:r w:rsidRPr="00646545">
        <w:rPr>
          <w:rFonts w:ascii="Times New Roman" w:eastAsia="Calibri" w:hAnsi="Times New Roman" w:cs="Times New Roman"/>
          <w:spacing w:val="-6"/>
          <w:sz w:val="28"/>
          <w:szCs w:val="28"/>
        </w:rPr>
        <w:t>закупок товаров, работ, услуг для обеспечения государственных и муниципальных</w:t>
      </w:r>
      <w:r w:rsidRPr="00646545">
        <w:rPr>
          <w:rFonts w:ascii="Times New Roman" w:eastAsia="Calibri" w:hAnsi="Times New Roman" w:cs="Times New Roman"/>
          <w:sz w:val="28"/>
          <w:szCs w:val="28"/>
        </w:rPr>
        <w:t xml:space="preserve"> нужд» о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сновными направлениями развития в этой сфере станут разграничение и уточнение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 администрации Рязановский сельсовет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Рзановского сельсовета </w:t>
      </w:r>
      <w:proofErr w:type="gramStart"/>
      <w:r w:rsidRPr="0064654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санкционирования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каждого денежного обязательства получателей бюджетных средств</w:t>
      </w:r>
      <w:proofErr w:type="gramEnd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проверки документов, подтверждающих возникновение таких обязательств, и проверки на всех этапах осуществления закупок соответствия </w:t>
      </w:r>
      <w:r w:rsidRPr="006465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информации о предоставленных объемах финансового обеспечения информации,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зафиксированной в  документах;</w:t>
      </w:r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должностными лицами полномочий по контролю за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муниципальных программ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осуществление контроля за соблюдением законодательства при составлении и исполнении бюджета в отношении расходов, связанных с закупками,  установление достоверности учета таких расходов;</w:t>
      </w:r>
      <w:proofErr w:type="gramEnd"/>
    </w:p>
    <w:p w:rsidR="003635FE" w:rsidRPr="00646545" w:rsidRDefault="003635FE" w:rsidP="00363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главными распорядителями бюджетных средств </w:t>
      </w:r>
      <w:proofErr w:type="gram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внутренних стандартов и процедур составления, исполнения бюджета по расходам, составления бюджетной отчетности и ведения бюджетного учета этим главным распорядителем и подведомственными ему получателями бюджетных средств.</w:t>
      </w:r>
    </w:p>
    <w:p w:rsidR="003635FE" w:rsidRPr="00646545" w:rsidRDefault="003635FE" w:rsidP="003635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при организации этой работы необходимо исключить возможное дублирование контрольных функций между всеми органами финансового контроля.</w:t>
      </w:r>
    </w:p>
    <w:p w:rsidR="003635FE" w:rsidRPr="00646545" w:rsidRDefault="003635FE" w:rsidP="003635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этой работы – организация действенного, компетентного и всеобъемлющего контроля за эффективным использованием бюджетных сре</w:t>
      </w:r>
      <w:proofErr w:type="gramStart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повышения качества управления муниципальными финансами и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ивности муниципальных программ администрации Рязановского сельсовета</w:t>
      </w:r>
      <w:r w:rsidRPr="00646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5FE" w:rsidRPr="00646545" w:rsidRDefault="003635FE" w:rsidP="00363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5FE" w:rsidRPr="00646545" w:rsidRDefault="003635FE" w:rsidP="003635FE">
      <w:pPr>
        <w:spacing w:after="0" w:line="240" w:lineRule="auto"/>
      </w:pPr>
    </w:p>
    <w:sectPr w:rsidR="003635FE" w:rsidRPr="00646545" w:rsidSect="00646545">
      <w:footerReference w:type="even" r:id="rId7"/>
      <w:footerReference w:type="default" r:id="rId8"/>
      <w:pgSz w:w="11907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0D" w:rsidRDefault="003635FE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C0D" w:rsidRDefault="003635F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0147623"/>
      <w:docPartObj>
        <w:docPartGallery w:val="Page Numbers (Bottom of Page)"/>
        <w:docPartUnique/>
      </w:docPartObj>
    </w:sdtPr>
    <w:sdtEndPr/>
    <w:sdtContent>
      <w:p w:rsidR="00646545" w:rsidRDefault="003635F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7C0D" w:rsidRPr="00E40F92" w:rsidRDefault="003635FE" w:rsidP="00476F55">
    <w:pPr>
      <w:pStyle w:val="a3"/>
      <w:ind w:right="360"/>
      <w:rPr>
        <w:lang w:val="en-US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5FE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F59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790"/>
    <w:rsid w:val="000A283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F"/>
    <w:rsid w:val="001609AA"/>
    <w:rsid w:val="00160ACD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8FE"/>
    <w:rsid w:val="00320A34"/>
    <w:rsid w:val="00320B1D"/>
    <w:rsid w:val="00320BEC"/>
    <w:rsid w:val="00320CE3"/>
    <w:rsid w:val="00320E06"/>
    <w:rsid w:val="00320E9C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5FE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C0A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BD6"/>
    <w:rsid w:val="00734E26"/>
    <w:rsid w:val="00735324"/>
    <w:rsid w:val="00735828"/>
    <w:rsid w:val="00735A33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958"/>
    <w:rsid w:val="007B6B11"/>
    <w:rsid w:val="007B6C91"/>
    <w:rsid w:val="007B6C92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8CB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1A2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429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2F40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1DC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048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35FE"/>
  </w:style>
  <w:style w:type="character" w:styleId="a5">
    <w:name w:val="page number"/>
    <w:basedOn w:val="a0"/>
    <w:rsid w:val="003635FE"/>
  </w:style>
  <w:style w:type="paragraph" w:styleId="a6">
    <w:name w:val="Body Text"/>
    <w:basedOn w:val="a"/>
    <w:link w:val="a7"/>
    <w:semiHidden/>
    <w:rsid w:val="003635F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363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6AAA9E8800135C00FFEE6CDF0AEC628429F3846FF0CA796E97FB0A10dBn6M" TargetMode="External"/><Relationship Id="rId5" Type="http://schemas.openxmlformats.org/officeDocument/2006/relationships/hyperlink" Target="consultantplus://offline/main?base=RLAW186;n=31364;fld=134;dst=10001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2063</Words>
  <Characters>11761</Characters>
  <Application>Microsoft Office Word</Application>
  <DocSecurity>0</DocSecurity>
  <Lines>98</Lines>
  <Paragraphs>27</Paragraphs>
  <ScaleCrop>false</ScaleCrop>
  <Company>Microsoft</Company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2019-11-14T06:00:00Z</cp:lastPrinted>
  <dcterms:created xsi:type="dcterms:W3CDTF">2019-11-14T05:49:00Z</dcterms:created>
  <dcterms:modified xsi:type="dcterms:W3CDTF">2019-11-14T06:02:00Z</dcterms:modified>
</cp:coreProperties>
</file>