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C7651" w:rsidRPr="000C7651" w:rsidTr="00A93F43">
        <w:tc>
          <w:tcPr>
            <w:tcW w:w="9570" w:type="dxa"/>
          </w:tcPr>
          <w:p w:rsidR="000C7651" w:rsidRPr="000C7651" w:rsidRDefault="000C7651" w:rsidP="000C76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765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58E35B8" wp14:editId="0BAF82AD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651" w:rsidRPr="000C7651" w:rsidRDefault="000C7651" w:rsidP="000C76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C7651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0C7651" w:rsidRPr="000C7651" w:rsidRDefault="000C7651" w:rsidP="000C76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C7651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C7651" w:rsidRPr="000C7651" w:rsidRDefault="000C7651" w:rsidP="000C76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0C7651" w:rsidRPr="000C7651" w:rsidRDefault="000C7651" w:rsidP="000C76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0C7651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C7651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0C7651" w:rsidRPr="000C7651" w:rsidRDefault="000C7651" w:rsidP="000C76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651" w:rsidRPr="000C7651" w:rsidRDefault="000C7651" w:rsidP="000C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651" w:rsidRPr="000C7651" w:rsidRDefault="000C7651" w:rsidP="000C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3485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C765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76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                                    с. </w:t>
      </w:r>
      <w:proofErr w:type="spellStart"/>
      <w:r w:rsidRPr="000C7651">
        <w:rPr>
          <w:rFonts w:ascii="Times New Roman" w:eastAsia="Times New Roman" w:hAnsi="Times New Roman" w:cs="Times New Roman"/>
          <w:b/>
          <w:sz w:val="28"/>
          <w:szCs w:val="28"/>
        </w:rPr>
        <w:t>Рязановка</w:t>
      </w:r>
      <w:proofErr w:type="spellEnd"/>
      <w:r w:rsidRPr="000C76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5</w:t>
      </w:r>
      <w:r w:rsidR="00E6633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C7651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FF4A11" w:rsidRPr="00B8369A" w:rsidRDefault="00FF4A11" w:rsidP="00FF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5F1C" w:rsidRPr="000C7651" w:rsidRDefault="00DE5F1C" w:rsidP="001944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утверждении </w:t>
      </w:r>
      <w:r w:rsidR="00A65C29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муниципальной </w:t>
      </w: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>программы</w:t>
      </w:r>
    </w:p>
    <w:p w:rsidR="00A65C29" w:rsidRPr="000C7651" w:rsidRDefault="00DE5F1C" w:rsidP="001944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развития муниципальной службы в </w:t>
      </w:r>
      <w:r w:rsidR="00A65C29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муниципальном образовании </w:t>
      </w:r>
      <w:r w:rsid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>Рязано</w:t>
      </w:r>
      <w:r w:rsidR="0019446D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>вский</w:t>
      </w:r>
      <w:r w:rsidR="00A65C29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сельсовет </w:t>
      </w:r>
      <w:proofErr w:type="spellStart"/>
      <w:r w:rsidR="00A65C29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>Асекеевского</w:t>
      </w:r>
      <w:proofErr w:type="spellEnd"/>
      <w:r w:rsidR="00A65C29"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района </w:t>
      </w: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Оренбургской области </w:t>
      </w:r>
    </w:p>
    <w:p w:rsidR="00DE5F1C" w:rsidRPr="000C7651" w:rsidRDefault="00DE5F1C" w:rsidP="001944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>на 202</w:t>
      </w:r>
      <w:r w:rsidR="00B944F2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– 202</w:t>
      </w:r>
      <w:r w:rsidR="00B944F2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Pr="000C765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годы</w:t>
      </w:r>
    </w:p>
    <w:p w:rsidR="00DE5F1C" w:rsidRPr="00DE5F1C" w:rsidRDefault="00DE5F1C" w:rsidP="00DE5F1C">
      <w:pPr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E5F1C" w:rsidRPr="003B3680" w:rsidRDefault="00DE5F1C" w:rsidP="0019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B36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</w:t>
      </w:r>
      <w:hyperlink r:id="rId10" w:history="1">
        <w:r w:rsidRPr="003B368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Закона</w:t>
        </w:r>
      </w:hyperlink>
      <w:r w:rsidRPr="003B3680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                      от 10 октября 2007 года №1611/339-</w:t>
      </w:r>
      <w:r w:rsidRPr="003B36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B3680">
        <w:rPr>
          <w:rFonts w:ascii="Times New Roman" w:eastAsia="Times New Roman" w:hAnsi="Times New Roman" w:cs="Times New Roman"/>
          <w:sz w:val="28"/>
          <w:szCs w:val="28"/>
        </w:rPr>
        <w:t>V-ОЗ «О муниципальной службе в Оренбургской области»,</w:t>
      </w:r>
      <w:r w:rsidR="00B8369A" w:rsidRPr="003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680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27 Устава муниципального образования</w:t>
      </w:r>
      <w:r w:rsidR="00A65C29" w:rsidRPr="003B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651" w:rsidRPr="003B3680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 w:rsidRPr="003B3680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A65C29" w:rsidRPr="003B3680">
        <w:rPr>
          <w:rFonts w:ascii="Times New Roman" w:eastAsia="Times New Roman" w:hAnsi="Times New Roman" w:cs="Times New Roman"/>
          <w:sz w:val="28"/>
          <w:szCs w:val="28"/>
        </w:rPr>
        <w:t>, постановляет</w:t>
      </w:r>
      <w:r w:rsidRPr="003B3680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</w:p>
    <w:p w:rsidR="00DE5F1C" w:rsidRPr="003B3680" w:rsidRDefault="00361341" w:rsidP="0019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</w:pPr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1. Утвердить муниципальную </w:t>
      </w:r>
      <w:r w:rsidR="00DE5F1C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программу развития муниципальной службы в</w:t>
      </w:r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муниципальном образовании </w:t>
      </w:r>
      <w:r w:rsidR="000C7651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Рязано</w:t>
      </w:r>
      <w:r w:rsidR="0019446D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вский сельсовет</w:t>
      </w:r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</w:t>
      </w:r>
      <w:proofErr w:type="spellStart"/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Асекеевского</w:t>
      </w:r>
      <w:proofErr w:type="spellEnd"/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района</w:t>
      </w:r>
      <w:r w:rsidR="00DE5F1C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Оренбургско</w:t>
      </w:r>
      <w:r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й области на </w:t>
      </w:r>
      <w:r w:rsidR="00DE5F1C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202</w:t>
      </w:r>
      <w:r w:rsidR="00B944F2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1</w:t>
      </w:r>
      <w:r w:rsidR="00DE5F1C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– 202</w:t>
      </w:r>
      <w:r w:rsidR="00B944F2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5</w:t>
      </w:r>
      <w:r w:rsidR="00DE5F1C" w:rsidRPr="003B3680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годы (далее – Программа) согласно приложению.</w:t>
      </w:r>
    </w:p>
    <w:p w:rsidR="00DE5F1C" w:rsidRPr="003B3680" w:rsidRDefault="00361341" w:rsidP="00194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B3680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="00DE5F1C" w:rsidRPr="003B36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5F1C" w:rsidRPr="003B36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3B3680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E5F1C" w:rsidRPr="003B3680" w:rsidRDefault="00361341" w:rsidP="0019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5F1C" w:rsidRPr="003B368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E5F1C" w:rsidRPr="003B3680" w:rsidRDefault="00DE5F1C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46D" w:rsidRDefault="0019446D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46D" w:rsidRDefault="0019446D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Default="00B8369A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13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C7651">
        <w:rPr>
          <w:rFonts w:ascii="Times New Roman" w:eastAsia="Times New Roman" w:hAnsi="Times New Roman" w:cs="Times New Roman"/>
          <w:sz w:val="28"/>
          <w:szCs w:val="28"/>
        </w:rPr>
        <w:t>А.В. Брусилов</w:t>
      </w:r>
    </w:p>
    <w:p w:rsidR="0019446D" w:rsidRDefault="0019446D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46D" w:rsidRDefault="0019446D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CAF" w:rsidRDefault="00FD4CAF" w:rsidP="0019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46D" w:rsidRDefault="0019446D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680" w:rsidRDefault="003B3680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680" w:rsidRDefault="003B3680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680" w:rsidRDefault="003B3680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680" w:rsidRDefault="003B3680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680" w:rsidRDefault="003B3680" w:rsidP="0019446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DE5F1C" w:rsidRPr="00DE5F1C" w:rsidTr="00702315">
        <w:tc>
          <w:tcPr>
            <w:tcW w:w="5070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501" w:type="dxa"/>
          </w:tcPr>
          <w:p w:rsidR="0019446D" w:rsidRDefault="0019446D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F1C" w:rsidRPr="00DE5F1C" w:rsidRDefault="0019446D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DE5F1C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361341" w:rsidRDefault="0019446D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E5F1C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61341" w:rsidRDefault="0019446D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36134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61341" w:rsidRDefault="0019446D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Рязановск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сельсовет</w:t>
            </w:r>
          </w:p>
          <w:p w:rsidR="00DE5F1C" w:rsidRPr="00DE5F1C" w:rsidRDefault="00FD4CAF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E5F1C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48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3613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6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DE5F1C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3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82E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61341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DE5F1C" w:rsidRPr="00DE5F1C" w:rsidRDefault="00DE5F1C" w:rsidP="00DE5F1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E5F1C" w:rsidRPr="00DE5F1C" w:rsidRDefault="00361341" w:rsidP="00DE5F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DE5F1C" w:rsidRPr="00DE5F1C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361341" w:rsidRDefault="00DE5F1C" w:rsidP="00DE5F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развития муниципальной службы в </w:t>
      </w:r>
      <w:r w:rsidR="003613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="003B3680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361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134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36134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 </w:t>
      </w:r>
    </w:p>
    <w:p w:rsidR="00DE5F1C" w:rsidRPr="00DE5F1C" w:rsidRDefault="00DE5F1C" w:rsidP="00DE5F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DE5F1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361341" w:rsidRPr="00DE5F1C" w:rsidRDefault="00361341" w:rsidP="0036134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</w:p>
    <w:p w:rsidR="00361341" w:rsidRDefault="00361341" w:rsidP="0036134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развития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="003B3680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 </w:t>
      </w:r>
    </w:p>
    <w:p w:rsidR="00361341" w:rsidRPr="00DE5F1C" w:rsidRDefault="00361341" w:rsidP="0036134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DE5F1C" w:rsidRPr="00DE5F1C" w:rsidRDefault="00DE5F1C" w:rsidP="0036134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(далее - Программа)</w:t>
      </w:r>
    </w:p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293"/>
      </w:tblGrid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3B36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36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19446D" w:rsidP="003B36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F5EC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3B36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муниципальной службы в 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повышения престижа муниципальной службы в 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B83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  <w:proofErr w:type="gramStart"/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результативности профессиональной служебной деятельности муниципальных служащих 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="00B83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702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702315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муниципальной службы во взаимосвязи муниципальной и государственной гражданской службой;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системы управления муниципальной службой;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обучения муниципальных служащих как основы их профессионального и должностного роста;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престижа муниципальной службы как вида профессиональной деятельности;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принятых муниципальных правовых актов, регулирующих вопросы муниципальной службы;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размещенных (актуализированных) материалов по вопросам развития муниципальной службы в информационно-телекоммуникационной сети «Интернет»;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3B368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мероприятий по профессиональному развитию муниципальных служащих </w:t>
            </w:r>
            <w:r w:rsidR="004F5EC9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B368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4F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EC9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4F5EC9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4F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F5EC9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в</w:t>
            </w:r>
            <w:r w:rsidR="004F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текущих расходов органа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</w:tr>
      <w:tr w:rsidR="00DE5F1C" w:rsidRPr="00DE5F1C" w:rsidTr="004F5EC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правового регулирования муниципальной службы во взаимосвязи с государственной гражданской службой и 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особенностями ее прохождения;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кадровых технологий, способствующих повышению результативности деятельности муниципальных служащих, </w:t>
            </w:r>
            <w:r w:rsidRPr="00DE5F1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посредством применения в качестве основы для всесторонней оценки профессиональной служебной деятельности муниципальных служащих методики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всесторонней оценки профессиональной служебной деятельности государственных гражданских служащих, </w:t>
            </w:r>
            <w:proofErr w:type="gramStart"/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разработанная</w:t>
            </w:r>
            <w:proofErr w:type="gramEnd"/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Министерством труда и социальной защиты Российской Федерации;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профессионального развития муниципальных служащих, включающее в себя разнообразные формы и методы повышения уровня их компетентности и профессионализма, обеспечивающих целевое профессиональное развитие кадрового состава и планирование должностного роста;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квалифицированных специалистов на муниципальной службе;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      </w:r>
          </w:p>
          <w:p w:rsidR="00DE5F1C" w:rsidRPr="00DE5F1C" w:rsidRDefault="00DE5F1C" w:rsidP="004F5E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</w:t>
            </w:r>
          </w:p>
        </w:tc>
      </w:tr>
    </w:tbl>
    <w:p w:rsidR="00DE5F1C" w:rsidRPr="00DE5F1C" w:rsidRDefault="004F5EC9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lastRenderedPageBreak/>
        <w:br w:type="textWrapping" w:clear="all"/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Муниципальная служба в Российской Федерации является важным и значимым инструментом для проведения различного рода преобразований в структуре власти, социальной среде, экономической деятельности. Связующим звеном между населением и властью являются муниципальные служащие. От их компетентности, профессионализма, нацеленности работать на благо всего населения и каждого человека в отдельности во многом зависит эффективная реализация как государственной, так и муниципальной социально-экономической политики на территории муниципального образования, степень доверия органам местного самоуправления.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муниципальных образований. От того, насколько эффективно действуют эти органы, во многом зависит доверие населения к власти.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В настоящее время развитию муниципальной службы присущи следующие проблемы: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недостаточный для работы в современных условиях уровень профессионального образования муниципальных служащих;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недостаточный уровень эффективности использования резерва управленческих ка</w:t>
      </w:r>
      <w:r w:rsidR="004F5EC9">
        <w:rPr>
          <w:rFonts w:ascii="Times New Roman" w:eastAsia="Times New Roman" w:hAnsi="Times New Roman" w:cs="Times New Roman"/>
          <w:sz w:val="28"/>
          <w:szCs w:val="28"/>
        </w:rPr>
        <w:t>дров и кадрового резерва органа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 w:rsidR="004F5EC9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 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>как основного источника обновления и пополнения кадрового состава муниципальной службы;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нерешенность правовых, организационных и социальных вопросов привлечения и закрепления молодых специалистов на муниципальной службе;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недостаточный уровень престижа муниципальной службы как вида профессиональной деятельности.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работы муниципальных служащих акцент должен ставиться на целенаправленное и системное дополнительное профессиональное образование. Зачастую муниципальным служащим приходится при смене должностей менять сферы, а значит и специализацию деятельности. Отсюда возникает актуальность получения дополнительного образования, постоянного расширения кругозора на основе углубленного изучения правовых, экономических, социальных и политических процессов.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необходимость профессионального развития муниципальных служащих во многом обусловлена постоянным изменением нормативно-правовой </w:t>
      </w:r>
      <w:proofErr w:type="gramStart"/>
      <w:r w:rsidRPr="00DE5F1C">
        <w:rPr>
          <w:rFonts w:ascii="Times New Roman" w:eastAsia="Times New Roman" w:hAnsi="Times New Roman" w:cs="Times New Roman"/>
          <w:sz w:val="28"/>
          <w:szCs w:val="28"/>
        </w:rPr>
        <w:t>базы</w:t>
      </w:r>
      <w:proofErr w:type="gramEnd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как на федеральном, так и на региональном уровнях, в том числе с учетом передаваемых государственных полномочий с федерального уровня на уровень субъектов Российской Федерации.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становятся очевидными значимость и необходимость принятия Программы, важность реализации мероприятий по развитию муниципальной службы в </w:t>
      </w:r>
      <w:r w:rsidR="004C21A1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 xml:space="preserve">  образовании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4C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21A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4C21A1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C21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21A1" w:rsidRPr="00DE5F1C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lastRenderedPageBreak/>
        <w:t>сложившейся ситуации необходимо на основе долгосрочного планирования, внедрения новых образовательных технологий осуществлять профессиональное развитие муниципальных служащих с учетом современных потребностей и динамики развития муниципальной службы. Важно, чтобы наряду с профессиональными знаниями программы обучения содержали в себе такие направления, как развитие коммуникабельности, социальной ответственности, высокой внутренней культуры, организаторских способностей муниципальных служащих, которые необходимы при работе с населением.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Привлечению для работы в органах местного самоуправления специалистов, обладающих широкими знаниями в областях гражданского права, социальной защищенности, экономики и других сферах, должно способствовать повышение престижа муниципальной службы, достигаемое посредством проведения профессиональных конкурсов, а также широкого освещения в средствах массовой информации лучших практик муниципальной службы.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Для решения перечисленны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х проблем органу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5F6B7E" w:rsidRPr="00DE5F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B7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5F6B7E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F6B7E" w:rsidRPr="00DE5F1C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 системной основе предусматривать бюджетные средства на обучение муниципальных служащих, проведение мероприятий по повышению престижа муниципальной службы. Данная задача может быть решена в рамках принятия муниципальных программ, предусматривающих развитие муниципальной службы, повышение эффективности муниципального управления.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hyperlink r:id="rId11" w:history="1">
        <w:r w:rsidRPr="00DE5F1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законом</w:t>
        </w:r>
      </w:hyperlink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                от 2 марта 2007 года №25-ФЗ «О муниципальной службе в Российской Федерации», согласно </w:t>
      </w:r>
      <w:hyperlink r:id="rId12" w:history="1">
        <w:r w:rsidRPr="00DE5F1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статье 35</w:t>
        </w:r>
      </w:hyperlink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которого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  <w:proofErr w:type="gramEnd"/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поставленных задач, </w:t>
      </w:r>
      <w:proofErr w:type="gramStart"/>
      <w:r w:rsidRPr="00DE5F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Последовательная реализация мероприятий Программы приведет к созданию условий для развития муниципальной службы в 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B83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B7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5F6B7E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а 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>, повышению ее роли и престижа, эффективности и результативности проводимой кадровой политики.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2. Цель и задачи Программы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создание условий для развития муниципальной службы в 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B83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 xml:space="preserve">вский 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B7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5F6B7E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а 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>, повышения престижа муниципальной службы, а также результативности профессиональной служебной деят</w:t>
      </w:r>
      <w:r w:rsidR="005F6B7E">
        <w:rPr>
          <w:rFonts w:ascii="Times New Roman" w:eastAsia="Times New Roman" w:hAnsi="Times New Roman" w:cs="Times New Roman"/>
          <w:sz w:val="28"/>
          <w:szCs w:val="28"/>
        </w:rPr>
        <w:t>ельности муниципальных служащих.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нормативно-правового регулирования муниципальной службы во взаимосвязи муниципальной и государственной гражданской службы;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формирование эффективной системы управления муниципальной службой;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развитие системы обучения муниципальных служащих как основы их профессионального и должностного роста;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повышение престижа муниципальной службы как вида профессиональной деятельности;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3. Показатели (индикаторы) Программы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реализации за полугодие, год (нарастающим итогом) и весь период реализации на основании аналитических исследований, мониторинга показателей (индикаторов) Программы.</w:t>
      </w:r>
    </w:p>
    <w:p w:rsidR="00DE5F1C" w:rsidRPr="00DE5F1C" w:rsidRDefault="00A9338F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w:anchor="P173" w:history="1">
        <w:r w:rsidR="00DE5F1C" w:rsidRPr="00DE5F1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Сведения</w:t>
        </w:r>
      </w:hyperlink>
      <w:r w:rsidR="00DE5F1C" w:rsidRPr="00DE5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 показателях (индикаторах) Программы и их значениях представлены в приложении №1 к Программе.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color w:val="0D0D0D"/>
          <w:sz w:val="28"/>
          <w:szCs w:val="28"/>
        </w:rPr>
        <w:t>4. Основные мероприятия Программы</w:t>
      </w:r>
    </w:p>
    <w:p w:rsidR="00DE5F1C" w:rsidRPr="00DE5F1C" w:rsidRDefault="00A9338F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w:anchor="P386" w:history="1">
        <w:r w:rsidR="00DE5F1C" w:rsidRPr="00DE5F1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Перечень</w:t>
        </w:r>
      </w:hyperlink>
      <w:r w:rsidR="00DE5F1C" w:rsidRPr="00DE5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основных мероприятий Программы представлен в приложении №2 к Программе.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5. Ожидаемые результаты реализации Программы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внедрение кадровых технологий, способствующих повышению результативности деятельности муниципальных служащих Оренбургской области, посредством применения в качестве основы для всесторонней оценки профессиональной служебной деятельности муниципальных служащих методики всесторонней оценки профессиональной служебной деятельности государственных гражданских служащих, разработанной </w:t>
      </w:r>
      <w:r w:rsidRPr="00DE5F1C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Министерством труда и социальной защиты Российской Федерации;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профессионального развития муниципальных служащих Оренбургской области, включающее в себя разнообразные формы и методы повышения уровня их компетентности и профессионализма, обеспечивающие целевое профессиональное развитие кадрового состава и планирование должностного роста;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увеличение числа квалифицированных специалистов на муниципальной службе;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6. Ресурсное обеспечение реализации Программы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профессиональному развитию муниципальных служащих</w:t>
      </w:r>
      <w:r w:rsidR="00B83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022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 рамках текущих расходов органа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022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DE5F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F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администрация муниципального образования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022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F1C" w:rsidRPr="00DE5F1C" w:rsidRDefault="00DE5F1C" w:rsidP="00B944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Участники Программы каждое полугодие (до 30 июня отчетного года) и по итогам года (до 31 декабря отчетного года) (нарастающим итогом) представляют в администрацию муниципального образования «</w:t>
      </w:r>
      <w:proofErr w:type="spellStart"/>
      <w:r w:rsidRPr="00DE5F1C"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proofErr w:type="spellEnd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район» Оренбургской области отчеты о реализации Программы, в том числе содержащие анализ причин нарушения сроков ее реализации. Итоговые отчеты о реализации Программы представляются до 31 декабря 202</w:t>
      </w:r>
      <w:r w:rsidR="00B944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E5F1C" w:rsidRPr="00DE5F1C" w:rsidRDefault="00DE5F1C" w:rsidP="00B9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F1C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Ежегодные отчеты о реализации Программы размещаются на официальном сайте администрации муниципального образования</w:t>
      </w:r>
      <w:r w:rsidR="00B836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44F2">
        <w:rPr>
          <w:rFonts w:ascii="Times New Roman" w:eastAsia="Calibri" w:hAnsi="Times New Roman" w:cs="Times New Roman"/>
          <w:sz w:val="28"/>
          <w:szCs w:val="28"/>
          <w:lang w:eastAsia="en-US"/>
        </w:rPr>
        <w:t>Рязано</w:t>
      </w:r>
      <w:r w:rsidR="0019446D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022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930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3022" w:rsidRPr="00DE5F1C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Pr="00DE5F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</w:t>
      </w:r>
      <w:r w:rsidR="00B944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E5F1C" w:rsidRPr="00DE5F1C" w:rsidRDefault="00DE5F1C" w:rsidP="00B944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A651A4" w:rsidRPr="00B41AF9" w:rsidRDefault="00A651A4" w:rsidP="00A651A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651A4" w:rsidRPr="00B41AF9" w:rsidSect="000164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5F1C" w:rsidRDefault="00DE5F1C" w:rsidP="00A651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DE5F1C" w:rsidRPr="00DE5F1C" w:rsidTr="00702315">
        <w:trPr>
          <w:trHeight w:val="1843"/>
        </w:trPr>
        <w:tc>
          <w:tcPr>
            <w:tcW w:w="889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293022" w:rsidRDefault="00DE5F1C" w:rsidP="002930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 развития муниципальной службы в </w:t>
            </w:r>
            <w:r w:rsidR="002930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293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022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293022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293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293022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</w:p>
          <w:p w:rsidR="00DE5F1C" w:rsidRPr="00DE5F1C" w:rsidRDefault="00DE5F1C" w:rsidP="00B944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DE5F1C" w:rsidRPr="00DE5F1C" w:rsidRDefault="00DE5F1C" w:rsidP="00DE5F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73"/>
      <w:bookmarkEnd w:id="2"/>
      <w:r w:rsidRPr="00DE5F1C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DE5F1C" w:rsidRPr="00DE5F1C" w:rsidRDefault="00DE5F1C" w:rsidP="00DE5F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F1C">
        <w:rPr>
          <w:rFonts w:ascii="Times New Roman" w:eastAsia="Times New Roman" w:hAnsi="Times New Roman" w:cs="Times New Roman"/>
          <w:sz w:val="28"/>
          <w:szCs w:val="28"/>
        </w:rPr>
        <w:t>о показателях (индикаторах) Программы и их значениях</w:t>
      </w:r>
    </w:p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1843"/>
        <w:gridCol w:w="1276"/>
        <w:gridCol w:w="1275"/>
        <w:gridCol w:w="1418"/>
        <w:gridCol w:w="1417"/>
        <w:gridCol w:w="1418"/>
        <w:gridCol w:w="1276"/>
      </w:tblGrid>
      <w:tr w:rsidR="00DE5F1C" w:rsidRPr="00DE5F1C" w:rsidTr="00702315">
        <w:tc>
          <w:tcPr>
            <w:tcW w:w="567" w:type="dxa"/>
            <w:vMerge w:val="restart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0" w:type="dxa"/>
            <w:vMerge w:val="restart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276" w:type="dxa"/>
            <w:vMerge w:val="restart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5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DE5F1C" w:rsidRPr="00DE5F1C" w:rsidTr="00702315">
        <w:tc>
          <w:tcPr>
            <w:tcW w:w="567" w:type="dxa"/>
            <w:vMerge/>
          </w:tcPr>
          <w:p w:rsidR="00DE5F1C" w:rsidRPr="00DE5F1C" w:rsidRDefault="00DE5F1C" w:rsidP="00DE5F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vMerge/>
          </w:tcPr>
          <w:p w:rsidR="00DE5F1C" w:rsidRPr="00DE5F1C" w:rsidRDefault="00DE5F1C" w:rsidP="00DE5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E5F1C" w:rsidRPr="00DE5F1C" w:rsidRDefault="00DE5F1C" w:rsidP="00DE5F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DE5F1C" w:rsidRPr="00DE5F1C" w:rsidRDefault="00DE5F1C" w:rsidP="00DE5F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E5F1C" w:rsidRPr="00DE5F1C" w:rsidRDefault="00DE5F1C" w:rsidP="00B94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E5F1C" w:rsidRPr="00DE5F1C" w:rsidTr="00702315">
        <w:tc>
          <w:tcPr>
            <w:tcW w:w="56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F1C" w:rsidRPr="00DE5F1C" w:rsidTr="00702315">
        <w:tc>
          <w:tcPr>
            <w:tcW w:w="56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муниципальных правовых актов, регулирующих вопросы муниципальной службы</w:t>
            </w:r>
          </w:p>
        </w:tc>
        <w:tc>
          <w:tcPr>
            <w:tcW w:w="1843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418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41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418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DE5F1C" w:rsidRPr="00DE5F1C" w:rsidTr="00702315">
        <w:tc>
          <w:tcPr>
            <w:tcW w:w="567" w:type="dxa"/>
          </w:tcPr>
          <w:p w:rsidR="00DE5F1C" w:rsidRPr="00DE5F1C" w:rsidRDefault="004D199E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размещенных (актуализированных) материалов по вопросам муниципальной службы в информационно-телекоммуникационной сети «Интернет»</w:t>
            </w:r>
          </w:p>
        </w:tc>
        <w:tc>
          <w:tcPr>
            <w:tcW w:w="1843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8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418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276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DE5F1C" w:rsidRPr="00DE5F1C" w:rsidTr="00702315">
        <w:tc>
          <w:tcPr>
            <w:tcW w:w="567" w:type="dxa"/>
          </w:tcPr>
          <w:p w:rsidR="00DE5F1C" w:rsidRPr="00DE5F1C" w:rsidRDefault="004D199E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Количество муниципальных служащих, принявших участие в обучающих мероприятиях, мероприятиях по обмену опытом, служебных стажировках</w:t>
            </w:r>
          </w:p>
        </w:tc>
        <w:tc>
          <w:tcPr>
            <w:tcW w:w="1843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основное мероприятие</w:t>
            </w:r>
          </w:p>
        </w:tc>
        <w:tc>
          <w:tcPr>
            <w:tcW w:w="1276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не менее 1</w:t>
            </w:r>
          </w:p>
        </w:tc>
        <w:tc>
          <w:tcPr>
            <w:tcW w:w="1418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</w:tcPr>
          <w:p w:rsidR="00DE5F1C" w:rsidRPr="00DE5F1C" w:rsidRDefault="00DE5F1C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не менее</w:t>
            </w:r>
            <w:r w:rsidR="0029302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DE5F1C" w:rsidRPr="00DE5F1C" w:rsidRDefault="00DE5F1C" w:rsidP="002930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E5F1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не менее </w:t>
            </w:r>
            <w:r w:rsidR="0029302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F1C" w:rsidRPr="00DE5F1C" w:rsidRDefault="00293022" w:rsidP="00DE5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не менее 1</w:t>
            </w:r>
          </w:p>
        </w:tc>
      </w:tr>
    </w:tbl>
    <w:p w:rsidR="00DE5F1C" w:rsidRPr="00DE5F1C" w:rsidRDefault="00DE5F1C" w:rsidP="00DE5F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FF4A11" w:rsidRPr="00FF4A11" w:rsidTr="00702315">
        <w:tc>
          <w:tcPr>
            <w:tcW w:w="8897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4D199E" w:rsidRDefault="00FF4A11" w:rsidP="00FF4A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 развития муниципальной службы в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199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 сельсовет</w:t>
            </w:r>
            <w:r w:rsidR="004D1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99E">
              <w:rPr>
                <w:rFonts w:ascii="Times New Roman" w:eastAsia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4D199E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4D1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D199E" w:rsidRPr="00DE5F1C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F4A11" w:rsidRPr="00FF4A11" w:rsidRDefault="004D199E" w:rsidP="00FF4A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F4A11"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4A11"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B944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F4A11" w:rsidRPr="00FF4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F4A11" w:rsidRPr="00FF4A11" w:rsidRDefault="00FF4A11" w:rsidP="00FF4A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4A11" w:rsidRPr="00FF4A11" w:rsidRDefault="00FF4A11" w:rsidP="00FF4A1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86"/>
      <w:bookmarkEnd w:id="3"/>
      <w:r w:rsidRPr="00FF4A11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F4A11" w:rsidRPr="00FF4A11" w:rsidRDefault="00FF4A11" w:rsidP="00FF4A1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A11">
        <w:rPr>
          <w:rFonts w:ascii="Times New Roman" w:eastAsia="Times New Roman" w:hAnsi="Times New Roman" w:cs="Times New Roman"/>
          <w:sz w:val="28"/>
          <w:szCs w:val="28"/>
        </w:rPr>
        <w:t>основных мероприятий Программы</w:t>
      </w:r>
    </w:p>
    <w:p w:rsidR="00FF4A11" w:rsidRPr="00FF4A11" w:rsidRDefault="00FF4A11" w:rsidP="00FF4A1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5082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68"/>
        <w:gridCol w:w="2268"/>
        <w:gridCol w:w="1359"/>
        <w:gridCol w:w="1418"/>
        <w:gridCol w:w="2326"/>
        <w:gridCol w:w="2410"/>
        <w:gridCol w:w="2493"/>
      </w:tblGrid>
      <w:tr w:rsidR="00FF4A11" w:rsidRPr="00FF4A11" w:rsidTr="004D199E">
        <w:trPr>
          <w:trHeight w:val="281"/>
          <w:jc w:val="center"/>
        </w:trPr>
        <w:tc>
          <w:tcPr>
            <w:tcW w:w="540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№ </w:t>
            </w:r>
            <w:proofErr w:type="gramStart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2777" w:type="dxa"/>
            <w:gridSpan w:val="2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Срок</w:t>
            </w:r>
          </w:p>
        </w:tc>
        <w:tc>
          <w:tcPr>
            <w:tcW w:w="2326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410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Последствия не</w:t>
            </w:r>
            <w:r w:rsid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493" w:type="dxa"/>
            <w:vMerge w:val="restart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Связь с показателями</w:t>
            </w:r>
          </w:p>
        </w:tc>
      </w:tr>
      <w:tr w:rsidR="00FF4A11" w:rsidRPr="00FF4A11" w:rsidTr="004D199E">
        <w:trPr>
          <w:trHeight w:val="142"/>
          <w:jc w:val="center"/>
        </w:trPr>
        <w:tc>
          <w:tcPr>
            <w:tcW w:w="540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окончания реализации</w:t>
            </w:r>
          </w:p>
        </w:tc>
        <w:tc>
          <w:tcPr>
            <w:tcW w:w="2326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/>
          </w:tcPr>
          <w:p w:rsidR="00FF4A11" w:rsidRPr="00FF4A11" w:rsidRDefault="00FF4A11" w:rsidP="00FF4A1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FF4A11" w:rsidRPr="00FF4A11" w:rsidTr="004D199E">
        <w:trPr>
          <w:trHeight w:val="207"/>
          <w:jc w:val="center"/>
        </w:trPr>
        <w:tc>
          <w:tcPr>
            <w:tcW w:w="540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</w:tr>
      <w:tr w:rsidR="00FF4A11" w:rsidRPr="00FF4A11" w:rsidTr="004D199E">
        <w:trPr>
          <w:trHeight w:val="318"/>
          <w:jc w:val="center"/>
        </w:trPr>
        <w:tc>
          <w:tcPr>
            <w:tcW w:w="540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Подготовка муниципальных правовых актов, регулирующих вопросы муниципальной службы</w:t>
            </w:r>
          </w:p>
        </w:tc>
        <w:tc>
          <w:tcPr>
            <w:tcW w:w="2268" w:type="dxa"/>
          </w:tcPr>
          <w:p w:rsidR="00FF4A11" w:rsidRPr="00B944F2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админист</w:t>
            </w:r>
            <w:r w:rsidR="004D199E" w:rsidRP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рация </w:t>
            </w:r>
            <w:r w:rsidR="004D199E" w:rsidRP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</w:t>
            </w:r>
            <w:r w:rsidR="0019446D" w:rsidRP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сельсовет</w:t>
            </w:r>
            <w:r w:rsidR="004D199E" w:rsidRP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99E" w:rsidRP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="004D199E" w:rsidRP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1359" w:type="dxa"/>
          </w:tcPr>
          <w:p w:rsidR="00FF4A11" w:rsidRPr="00FF4A11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F4A11" w:rsidRPr="00FF4A11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2326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совершенствование правового регулирования муниципальной службы во взаимосвязи с государственной гражданской службой и особенностями ее 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прохождения</w:t>
            </w:r>
          </w:p>
        </w:tc>
        <w:tc>
          <w:tcPr>
            <w:tcW w:w="2410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неисполнение нормативных правовых актов Российской Федерации и Оренбургской области, направленных на развитие муниципальной 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493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количество принятых муниципальных правовых актов, регулирующих вопросы муниципальной службы</w:t>
            </w:r>
          </w:p>
        </w:tc>
      </w:tr>
      <w:tr w:rsidR="00FF4A11" w:rsidRPr="00FF4A11" w:rsidTr="004D199E">
        <w:trPr>
          <w:trHeight w:val="142"/>
          <w:jc w:val="center"/>
        </w:trPr>
        <w:tc>
          <w:tcPr>
            <w:tcW w:w="540" w:type="dxa"/>
          </w:tcPr>
          <w:p w:rsidR="00FF4A11" w:rsidRPr="00FF4A11" w:rsidRDefault="004D199E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Разработка и размещение (актуализация) материалов по вопросам муниципальной службы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FF4A11" w:rsidRPr="00B8369A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8369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администрация </w:t>
            </w:r>
            <w:r w:rsidR="004D199E" w:rsidRPr="00B8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944F2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</w:t>
            </w:r>
            <w:r w:rsidR="0019446D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сельсовет</w:t>
            </w:r>
            <w:r w:rsidR="004D199E" w:rsidRPr="00B8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99E" w:rsidRPr="00B8369A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="004D199E" w:rsidRPr="00B8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1359" w:type="dxa"/>
          </w:tcPr>
          <w:p w:rsidR="00FF4A11" w:rsidRPr="00FF4A11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F4A11" w:rsidRPr="00FF4A11" w:rsidRDefault="00FF4A11" w:rsidP="00B944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202</w:t>
            </w:r>
            <w:r w:rsidR="00B944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2326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развитие правовой грамотности муниципальных служащих; увеличение числа квалифицированных специалистов на муниципальной службе в </w:t>
            </w:r>
            <w:proofErr w:type="spellStart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Асекеевском</w:t>
            </w:r>
            <w:proofErr w:type="spellEnd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районе  Оренбургской области</w:t>
            </w:r>
          </w:p>
        </w:tc>
        <w:tc>
          <w:tcPr>
            <w:tcW w:w="2410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непрофессионализм и некомпетентность муниципальных служащих  </w:t>
            </w:r>
            <w:proofErr w:type="spellStart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Асекеевского</w:t>
            </w:r>
            <w:proofErr w:type="spellEnd"/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района Оренбургской области при выполнении своих должностных обязанностей</w:t>
            </w:r>
          </w:p>
        </w:tc>
        <w:tc>
          <w:tcPr>
            <w:tcW w:w="2493" w:type="dxa"/>
          </w:tcPr>
          <w:p w:rsidR="00FF4A11" w:rsidRPr="00FF4A11" w:rsidRDefault="00FF4A11" w:rsidP="00FF4A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F4A1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количество размещенных (актуализированных) материалов по вопросам муниципальной службы в информационно-телекоммуникационной сети «Интернет»</w:t>
            </w:r>
          </w:p>
        </w:tc>
      </w:tr>
    </w:tbl>
    <w:p w:rsidR="00FF4A11" w:rsidRPr="00FF4A11" w:rsidRDefault="00FF4A11" w:rsidP="00FF4A11">
      <w:pPr>
        <w:spacing w:before="240"/>
        <w:ind w:right="-314" w:firstLine="709"/>
        <w:rPr>
          <w:rFonts w:ascii="Times New Roman" w:eastAsia="Calibri" w:hAnsi="Times New Roman" w:cs="Times New Roman"/>
          <w:lang w:eastAsia="en-US"/>
        </w:rPr>
        <w:sectPr w:rsidR="00FF4A11" w:rsidRPr="00FF4A11" w:rsidSect="00702315">
          <w:pgSz w:w="16838" w:h="11905" w:orient="landscape"/>
          <w:pgMar w:top="1701" w:right="1134" w:bottom="1134" w:left="1134" w:header="0" w:footer="0" w:gutter="0"/>
          <w:cols w:space="720"/>
        </w:sectPr>
      </w:pPr>
      <w:r w:rsidRPr="00FF4A11">
        <w:rPr>
          <w:rFonts w:ascii="Times New Roman" w:eastAsia="Calibri" w:hAnsi="Times New Roman" w:cs="Times New Roman"/>
          <w:lang w:eastAsia="en-US"/>
        </w:rPr>
        <w:t xml:space="preserve">Примечание.    Привлечение    в    качестве    </w:t>
      </w:r>
      <w:proofErr w:type="gramStart"/>
      <w:r w:rsidRPr="00FF4A11">
        <w:rPr>
          <w:rFonts w:ascii="Times New Roman" w:eastAsia="Calibri" w:hAnsi="Times New Roman" w:cs="Times New Roman"/>
          <w:lang w:eastAsia="en-US"/>
        </w:rPr>
        <w:t>участников    основных    мероприятий    Программы    органов    местного    самоуправления  сельских  поселений</w:t>
      </w:r>
      <w:proofErr w:type="gramEnd"/>
      <w:r w:rsidRPr="00FF4A11">
        <w:rPr>
          <w:rFonts w:ascii="Times New Roman" w:eastAsia="Calibri" w:hAnsi="Times New Roman" w:cs="Times New Roman"/>
          <w:lang w:eastAsia="en-US"/>
        </w:rPr>
        <w:t xml:space="preserve"> о</w:t>
      </w:r>
      <w:r w:rsidR="004D199E">
        <w:rPr>
          <w:rFonts w:ascii="Times New Roman" w:eastAsia="Calibri" w:hAnsi="Times New Roman" w:cs="Times New Roman"/>
          <w:lang w:eastAsia="en-US"/>
        </w:rPr>
        <w:t>существляется  по  согласован</w:t>
      </w:r>
    </w:p>
    <w:p w:rsidR="00DE5F1C" w:rsidRPr="004D199E" w:rsidRDefault="00DE5F1C" w:rsidP="00B944F2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DE5F1C" w:rsidRPr="004D199E" w:rsidSect="00016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8F" w:rsidRDefault="00A9338F" w:rsidP="00DE5F1C">
      <w:pPr>
        <w:spacing w:after="0" w:line="240" w:lineRule="auto"/>
      </w:pPr>
      <w:r>
        <w:separator/>
      </w:r>
    </w:p>
  </w:endnote>
  <w:endnote w:type="continuationSeparator" w:id="0">
    <w:p w:rsidR="00A9338F" w:rsidRDefault="00A9338F" w:rsidP="00DE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8F" w:rsidRDefault="00A9338F" w:rsidP="00DE5F1C">
      <w:pPr>
        <w:spacing w:after="0" w:line="240" w:lineRule="auto"/>
      </w:pPr>
      <w:r>
        <w:separator/>
      </w:r>
    </w:p>
  </w:footnote>
  <w:footnote w:type="continuationSeparator" w:id="0">
    <w:p w:rsidR="00A9338F" w:rsidRDefault="00A9338F" w:rsidP="00DE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6FF"/>
    <w:multiLevelType w:val="hybridMultilevel"/>
    <w:tmpl w:val="E18AEB9A"/>
    <w:lvl w:ilvl="0" w:tplc="FDF2BE5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E2E9A"/>
    <w:multiLevelType w:val="hybridMultilevel"/>
    <w:tmpl w:val="3618A4BA"/>
    <w:lvl w:ilvl="0" w:tplc="0044699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A4"/>
    <w:rsid w:val="00016401"/>
    <w:rsid w:val="00054873"/>
    <w:rsid w:val="000C7651"/>
    <w:rsid w:val="00113A69"/>
    <w:rsid w:val="00121B93"/>
    <w:rsid w:val="0019446D"/>
    <w:rsid w:val="001B01BC"/>
    <w:rsid w:val="00203003"/>
    <w:rsid w:val="00221A5E"/>
    <w:rsid w:val="00293022"/>
    <w:rsid w:val="002D7778"/>
    <w:rsid w:val="002E2958"/>
    <w:rsid w:val="00305CF9"/>
    <w:rsid w:val="0034112A"/>
    <w:rsid w:val="00361341"/>
    <w:rsid w:val="003750E2"/>
    <w:rsid w:val="003B3680"/>
    <w:rsid w:val="00434852"/>
    <w:rsid w:val="00445F48"/>
    <w:rsid w:val="004463A1"/>
    <w:rsid w:val="004B7903"/>
    <w:rsid w:val="004C21A1"/>
    <w:rsid w:val="004D199E"/>
    <w:rsid w:val="004F5EC9"/>
    <w:rsid w:val="005107E3"/>
    <w:rsid w:val="00544486"/>
    <w:rsid w:val="00596070"/>
    <w:rsid w:val="005F47F2"/>
    <w:rsid w:val="005F6B7E"/>
    <w:rsid w:val="006100AC"/>
    <w:rsid w:val="00680902"/>
    <w:rsid w:val="006A153C"/>
    <w:rsid w:val="00702315"/>
    <w:rsid w:val="00722863"/>
    <w:rsid w:val="00784B05"/>
    <w:rsid w:val="007F62B8"/>
    <w:rsid w:val="00803C44"/>
    <w:rsid w:val="008C5BB2"/>
    <w:rsid w:val="009238F8"/>
    <w:rsid w:val="00977C09"/>
    <w:rsid w:val="00982E65"/>
    <w:rsid w:val="009E2CDC"/>
    <w:rsid w:val="00A01CDA"/>
    <w:rsid w:val="00A143BB"/>
    <w:rsid w:val="00A40260"/>
    <w:rsid w:val="00A467D2"/>
    <w:rsid w:val="00A57623"/>
    <w:rsid w:val="00A57845"/>
    <w:rsid w:val="00A651A4"/>
    <w:rsid w:val="00A65C29"/>
    <w:rsid w:val="00A716C1"/>
    <w:rsid w:val="00A7532F"/>
    <w:rsid w:val="00A9338F"/>
    <w:rsid w:val="00AA324D"/>
    <w:rsid w:val="00AB39D5"/>
    <w:rsid w:val="00B36792"/>
    <w:rsid w:val="00B466F3"/>
    <w:rsid w:val="00B508C1"/>
    <w:rsid w:val="00B76867"/>
    <w:rsid w:val="00B8369A"/>
    <w:rsid w:val="00B944F2"/>
    <w:rsid w:val="00BB3E5C"/>
    <w:rsid w:val="00BC1A61"/>
    <w:rsid w:val="00BD4507"/>
    <w:rsid w:val="00BF31BC"/>
    <w:rsid w:val="00C1396F"/>
    <w:rsid w:val="00C2463B"/>
    <w:rsid w:val="00C87DB5"/>
    <w:rsid w:val="00D11456"/>
    <w:rsid w:val="00D122E5"/>
    <w:rsid w:val="00D23204"/>
    <w:rsid w:val="00D42CC2"/>
    <w:rsid w:val="00D566C6"/>
    <w:rsid w:val="00D93B34"/>
    <w:rsid w:val="00DA6078"/>
    <w:rsid w:val="00DE357F"/>
    <w:rsid w:val="00DE5F1C"/>
    <w:rsid w:val="00E02867"/>
    <w:rsid w:val="00E410AD"/>
    <w:rsid w:val="00E6277D"/>
    <w:rsid w:val="00E64D47"/>
    <w:rsid w:val="00E66337"/>
    <w:rsid w:val="00EB7DB8"/>
    <w:rsid w:val="00F07748"/>
    <w:rsid w:val="00F14730"/>
    <w:rsid w:val="00F6227F"/>
    <w:rsid w:val="00FC1AC7"/>
    <w:rsid w:val="00FD4CAF"/>
    <w:rsid w:val="00FF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3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38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38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E5F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1C"/>
  </w:style>
  <w:style w:type="paragraph" w:styleId="a8">
    <w:name w:val="footer"/>
    <w:basedOn w:val="a"/>
    <w:link w:val="a9"/>
    <w:uiPriority w:val="99"/>
    <w:unhideWhenUsed/>
    <w:rsid w:val="00D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1C"/>
  </w:style>
  <w:style w:type="table" w:customStyle="1" w:styleId="11">
    <w:name w:val="Сетка таблицы1"/>
    <w:basedOn w:val="a1"/>
    <w:next w:val="a5"/>
    <w:uiPriority w:val="59"/>
    <w:rsid w:val="00DE5F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F4A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0C7651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3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38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38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E5F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1C"/>
  </w:style>
  <w:style w:type="paragraph" w:styleId="a8">
    <w:name w:val="footer"/>
    <w:basedOn w:val="a"/>
    <w:link w:val="a9"/>
    <w:uiPriority w:val="99"/>
    <w:unhideWhenUsed/>
    <w:rsid w:val="00D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1C"/>
  </w:style>
  <w:style w:type="table" w:customStyle="1" w:styleId="11">
    <w:name w:val="Сетка таблицы1"/>
    <w:basedOn w:val="a1"/>
    <w:next w:val="a5"/>
    <w:uiPriority w:val="59"/>
    <w:rsid w:val="00DE5F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F4A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0C7651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14F295302E4C822BBBC50DBB6A347F225079AE13F144F691FFF89271F25F7FA4B85133E96A2DC7E5D204A8C2382BEB626525ECCE27D86624T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14F295302E4C822BBBC50DBB6A347F225079AE13F144F691FFF89271F25F7FB6B8093FE96B31C0E2C752F98426T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CCE239E752C7191A7B96AA5B99ABB836BA024C478BF2F84CE60D6B5B5541D5463299E446DE1A47FCB8A87CF7CFE08FB97A8D438CBFEDB7A3EDE779i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124A-C516-4663-9225-19A833EF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2020-12-29T10:40:00Z</cp:lastPrinted>
  <dcterms:created xsi:type="dcterms:W3CDTF">2020-12-17T08:15:00Z</dcterms:created>
  <dcterms:modified xsi:type="dcterms:W3CDTF">2020-12-29T10:41:00Z</dcterms:modified>
</cp:coreProperties>
</file>