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30" w:rsidRPr="00383030" w:rsidRDefault="00383030" w:rsidP="00383030">
      <w:pPr>
        <w:spacing w:after="0" w:line="640" w:lineRule="atLeast"/>
        <w:outlineLvl w:val="0"/>
        <w:rPr>
          <w:rFonts w:ascii="Times New Roman" w:eastAsia="Times New Roman" w:hAnsi="Times New Roman" w:cs="Times New Roman"/>
          <w:b/>
          <w:bCs/>
          <w:kern w:val="36"/>
          <w:sz w:val="24"/>
          <w:szCs w:val="24"/>
        </w:rPr>
      </w:pPr>
      <w:r w:rsidRPr="00383030">
        <w:rPr>
          <w:rFonts w:ascii="Times New Roman" w:eastAsia="Times New Roman" w:hAnsi="Times New Roman" w:cs="Times New Roman"/>
          <w:b/>
          <w:bCs/>
          <w:kern w:val="36"/>
          <w:sz w:val="24"/>
          <w:szCs w:val="24"/>
        </w:rPr>
        <w:t>Памятки по противодействию экстремизму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ПАМЯТКА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родителям</w:t>
      </w:r>
      <w:r w:rsidRPr="00383030">
        <w:rPr>
          <w:rFonts w:ascii="Times New Roman" w:hAnsi="Times New Roman" w:cs="Times New Roman"/>
          <w:sz w:val="24"/>
          <w:szCs w:val="24"/>
        </w:rPr>
        <w:br/>
        <w:t>по профилактике экстремизма </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Одной из особенностей современной России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По своим направлениям экстремизм многовекторен.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 экстремизм националистический, религиозный, молодежный.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малого и среднего бизнеса, огромным количеством гастарбайтеров, занимающих рабочие места и способствующих обвалу цен на рынке труда, разным менталитетом граждан.</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Насколько многообразен и многолик экстремизм , настолько разнообразны порождающие его мотивы. 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 Мотивация правонарушителей существенно отличается от мотивации законопослушных граждан.</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Мотивацию преступного поведения в экстремистских организациях разделяют на личную и групповую. Нахождение в группе способствует возникновению определенных мотивов </w:t>
      </w:r>
      <w:r w:rsidRPr="00383030">
        <w:rPr>
          <w:rFonts w:ascii="Times New Roman" w:hAnsi="Times New Roman" w:cs="Times New Roman"/>
          <w:sz w:val="24"/>
          <w:szCs w:val="24"/>
        </w:rPr>
        <w:lastRenderedPageBreak/>
        <w:t>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мотивированности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отличии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На постоянной основе проводится мониторинг средств массовой информации и информационных ресурсов сети «Интернет» для установления фактов публикаций </w:t>
      </w:r>
      <w:r w:rsidRPr="00383030">
        <w:rPr>
          <w:rFonts w:ascii="Times New Roman" w:hAnsi="Times New Roman" w:cs="Times New Roman"/>
          <w:sz w:val="24"/>
          <w:szCs w:val="24"/>
        </w:rPr>
        <w:lastRenderedPageBreak/>
        <w:t>информации экстремистского содержания, а также несанкционированных митингах и акциях протеста.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Памятка </w:t>
      </w:r>
      <w:r w:rsidRPr="00383030">
        <w:rPr>
          <w:rFonts w:ascii="Times New Roman" w:hAnsi="Times New Roman" w:cs="Times New Roman"/>
          <w:sz w:val="24"/>
          <w:szCs w:val="24"/>
        </w:rPr>
        <w:br/>
        <w:t>по недопущению распространения экстремизма</w:t>
      </w:r>
      <w:r w:rsidRPr="00383030">
        <w:rPr>
          <w:rFonts w:ascii="Times New Roman" w:hAnsi="Times New Roman" w:cs="Times New Roman"/>
          <w:sz w:val="24"/>
          <w:szCs w:val="24"/>
        </w:rPr>
        <w:br/>
        <w:t>(подготовлена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 , Уголовного кодекса Российской Федерации )</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Основные понятия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1.1. Экстремистская деятельность (экстремизм):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насильственное изменение основ конституционного строя и нарушение целостности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публичное оправдание терроризма и иная террористическая деятельность;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возбуждение социальной, расовой, национальной или религиозной розни;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совершение преступлений по мотивам, указанным в пункте «е» части первой статьи 63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организация и подготовка указанных деяний, а также подстрекательство к их осуществлению;</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1.2. Экстремистская организация: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w:t>
      </w:r>
      <w:r w:rsidRPr="00383030">
        <w:rPr>
          <w:rFonts w:ascii="Times New Roman" w:hAnsi="Times New Roman" w:cs="Times New Roman"/>
          <w:sz w:val="24"/>
          <w:szCs w:val="24"/>
        </w:rPr>
        <w:lastRenderedPageBreak/>
        <w:t>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1.3. Экстремистские материалы:</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Основные принципы противодействия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2.1. Противодействие экстремистской деятельности основывается на следующих принципах: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признание, соблюдение и защита прав и свобод человека и гражданина, а равно законных интересов организации;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законность;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гласность;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приоритет обеспечения безопасности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приоритет мер, направленных на предупреждение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неотвратимость наказания за осуществление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3. Основные направления противодействия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3.1. Противодействие экстремистской деятельности осуществляется по следующим основным направлениям: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4. Ответственность за осуществление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4.1. Ответственность за распространение экстремистских материалов.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w:t>
      </w:r>
      <w:r w:rsidRPr="00383030">
        <w:rPr>
          <w:rFonts w:ascii="Times New Roman" w:hAnsi="Times New Roman" w:cs="Times New Roman"/>
          <w:sz w:val="24"/>
          <w:szCs w:val="24"/>
        </w:rPr>
        <w:lastRenderedPageBreak/>
        <w:t>распространение экстремистских материалов является правонарушением и влечет за собой ответственность.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Одновременно с решением о признании информационных материалов экстремистскими судом принимается решение об их конфискации.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4.2. Ответственность должностных лиц, государственных и муниципальных служащих за осуществление ими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5. Запреты и недопущения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5.1. Недопущение использования сетей связи общего пользования для осуществления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Запрещается использование сетей связи общего пользования для осуществления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5.2. Недопущение осуществления экстремистской деятельности при проведении массовых акций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6. Виды ответственности за осуществление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6.1. Административная ответственность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Нарушение законодательства о свободе совести, свободе вероисповедания и о религиозных объединениях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 Кодекса Российской Федерации об административных правонарушениях).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Злоупотребление свободой массовой информации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 Кодекса Российской Федерации об административных правонарушениях).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Пропаганда и публичное демонстрирование нацистской атрибутики или символики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w:t>
      </w:r>
      <w:r w:rsidRPr="00383030">
        <w:rPr>
          <w:rFonts w:ascii="Times New Roman" w:hAnsi="Times New Roman" w:cs="Times New Roman"/>
          <w:sz w:val="24"/>
          <w:szCs w:val="24"/>
        </w:rPr>
        <w:lastRenderedPageBreak/>
        <w:t>административный арест на срок до пятнадцати суток с конфискацией нацистской или иной указанной атрибутики или символики.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 Кодекса Российской Федерации об административных правонарушениях).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Российской Федерации об административных правонарушениях).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Производство и распространение экстремистских материалов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6.2. Уголовная ответственность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Обстоятельства, отягчающие наказание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Воспрепятствование осуществлению права на свободу совести и вероисповеданий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w:t>
      </w:r>
      <w:r w:rsidRPr="00383030">
        <w:rPr>
          <w:rFonts w:ascii="Times New Roman" w:hAnsi="Times New Roman" w:cs="Times New Roman"/>
          <w:sz w:val="24"/>
          <w:szCs w:val="24"/>
        </w:rPr>
        <w:lastRenderedPageBreak/>
        <w:t>исправительными работами на срок до одного года, либо арестом на срок до трех месяцев (статья 148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Террористический акт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Те же деяния: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а) совершенные группой лиц по предварительному сговору или организованной группой;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б) повлекшие по неосторожности смерть человека;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3. Деяния, предусмотренные частями первой или второй настоящей статьи, если они: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Содействие террористической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 Примечание.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w:t>
      </w:r>
      <w:r w:rsidRPr="00383030">
        <w:rPr>
          <w:rFonts w:ascii="Times New Roman" w:hAnsi="Times New Roman" w:cs="Times New Roman"/>
          <w:sz w:val="24"/>
          <w:szCs w:val="24"/>
        </w:rPr>
        <w:lastRenderedPageBreak/>
        <w:t>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Публичные призывы к осуществлению террористической деятельности или публичное оправдание терроризма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Заведомо ложное сообщение об акте терроризма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(статья 207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Массовые беспорядки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-наказывается лишением свободы на срок от четырех до десяти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Хулиганство</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Хулиганство, то есть грубое нарушение общественного порядка, выражающее явное неуважение к обществу, совершенное: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а) с применением оружия или предметов, используемых в качестве оружия;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Публичные призывы к осуществлению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Диверсия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Те же деяния: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а) совершенные организованной группой;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3. Деяния, предусмотренные частями первой или второй настоящей статьи, если они повлекли умышленное причинение смерти человеку, -наказываются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Возбуждение ненависти либо вражды, а равно унижение человеческого достоинства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Те же деяния, совершенные: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а) с применением насилия или с угрозой его применения;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б) лицом с использованием своего служебного положения;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 (статья 282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Организация экстремистского сообщества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3. 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Примечания.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 Уголовного кодекса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Организация деятельности экстремистской организации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трех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 либо лишением свободы на срок до двух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 Уголовного кодекса Российской Федерации). </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ВНИМАНИЕ! </w:t>
      </w:r>
      <w:r w:rsidRPr="00383030">
        <w:rPr>
          <w:rFonts w:ascii="Times New Roman" w:hAnsi="Times New Roman" w:cs="Times New Roman"/>
          <w:sz w:val="24"/>
          <w:szCs w:val="24"/>
        </w:rPr>
        <w:br/>
        <w:t>Если Вы подвергаетесь физическому или моральному экстремистскому давлению вы должны и имеете право обратиться в органы милиции лично или по </w:t>
      </w:r>
      <w:r w:rsidRPr="00383030">
        <w:rPr>
          <w:rFonts w:ascii="Times New Roman" w:hAnsi="Times New Roman" w:cs="Times New Roman"/>
          <w:sz w:val="24"/>
          <w:szCs w:val="24"/>
        </w:rPr>
        <w:br/>
        <w:t>телефону 02</w:t>
      </w:r>
      <w:r w:rsidRPr="00383030">
        <w:rPr>
          <w:rFonts w:ascii="Times New Roman" w:hAnsi="Times New Roman" w:cs="Times New Roman"/>
          <w:sz w:val="24"/>
          <w:szCs w:val="24"/>
        </w:rPr>
        <w:br/>
        <w:t>Не допускайте насилия!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Российский опыт политико-правового регулирования системы противодействия экстремизму и терроризму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рамках решения этой задачи особый упор необходимо делать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Основой правовой базы по проблемам противодействия любым формам 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(ст.ст.13,29).</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Основания и порядок привлечения к ответственности за экстремистскую деятельность политических партий, общественных и религиозных объединений, средств массовой информации, иных организаций, а также должностных лиц и граждан определены в законах, регулирующих деятельность политических партий, общественных и религиозных объединений — Федеральном законе от 19 мая 1995 года № 82-ФЗ «Об общественных объединениях» и Федеральном законе от 11 июля 2001 года № 95-ФЗ «О политических партиях», а также в Уголовном кодексе Российской Федерации, Кодексе Российской Федерации об административных правонарушениях, Уголовно-процессуальном кодексе Российской Федерации, Гражданском процессуальном кодексе Российской Федерации и других законах.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Федеральный Закон от 25 июля 1998 года № 130-ФЗ «О борьбе с терроризмом» как специализированный нормативный акт, регулирующий порядок реализации государственной политики в данной сфере, определял правовые и организационные основы борьбы с терроризмом в Российской Федерации, порядок координации деятельности осуществляющих борьбу с терроризмом государственных органов и общественных объединений, а также ответственность организаций за террористическую деятельность.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Позже был принят Федеральный закон Российской Федерации от 6 марта 2006 г. №35-ФЗ «О противодействии терроризму». 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ст. 2 говорится об основных принципах противодействия терроризму: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«Противодействие терроризму в Российской Федерации основывается на следующих основных принципах: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обеспечение и защита основных прав и свобод человека и гражданина;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законность;</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приоритет защиты прав и законных интересов лиц, подвергающихся террористической опасности;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неотвратимость наказания за осуществление террористической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приоритет мер предупреждения терроризма;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единоначалие в руководстве привлекаемыми силами и средствами при проведении контртеррористических операций;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сочетание гласных и негласных методов противодействия терроризму;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недопустимость политических уступок террористам;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минимизация и (или) ликвидация последствий проявлений терроризма;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соразмерность мер противодействия терроризму степени террористической опасности».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Было принято Постановление Правительства Российской Федерации от 13 марта 2008 года № 167 «О возмещении лицу, принимавшему участие в осуществлении мероприятия по борьбе с терроризмом, стоимости утраченного или поврежденного имущества».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Федеральный закон от 13 декабря 1996 года № 150-ФЗ «Об оружии», дополняя антитеррористическое законодательство Российской Федерации нормами о противодействии незаконному обороту оружия,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Федеральные законы от 25 июля 2002 года — № 114-ФЗ «О противодействии экстремистской деятельности» и № 112-ФЗ«О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«О противодействии террористической деятельности» закрепляют основные положения государственной политики противодействия всем формам экстремистской и террористической деятельности, устанавливают меры ответственности за их осуществление, а также предусматривают осуществление комплекса профилактических мер по предупреждению действий экстремистского и террористического характера, к которым, в частности, относится: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объявление предостережения руководителю общественного или религиозного объединения либо иной организации о недопустимости осуществления экстремистской деятельности; вынесение письменного предупреждения общественному или религиозному объединению либо иной организации о недопустимости осуществления экстремистской деятельности в случае выявления фактов, свидетельствующих о наличии в их деятельности признаков экстремизма;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приостановление деятельности общественного или религиозного объединения в случае осуществления им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государству или создающей реальную угрозу причинения такого вреда, до рассмотрения судом заявления о его ликвидации либо запрете его деятельности; вынесение предупреждения учредителю и (или) редакции (главному редактору) о недопустимости распространения экстремистских материалов в случае их распространения через средства массовой информации. Федеральный закон от 26 сентября 1997 года № 125-ФЗ «О свободе совести и о религиозных объединениях», регулирующий правоотношения в области прав человека и гражданина на свободу совести и свободу вероисповедания, а также правовое положение религиозных объединений, определяет важнейшие основания для ликвидации религиозной организации, запрета на деятельность религиозного объединения в случае нарушения ими законодательства.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На принятие Россией международных обязательств в сфере борьбы с терроризмом и экстремизмом направлены законодательные акты, ратифицирующие международно-правовые документы о борьбе с терроризмом: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Федеральный закон от 7 августа 2000 года № 121-ФЗ «О ратификации Европейской Конвенции о пресечении терроризма»;Федеральный закон от 13 февраля 2001 года № 19-ФЗ «О ратификации Международной конвенции о борьбе с бомбовым терроризмом»; Федеральный закон от 10 июля 2002 года № 88-ФЗ «О ратификации Международной конвенции о борьбе с финансированием терроризма»; Федеральный закон от 10 января 2003 года № 3-ФЗ «О ратификации Шанхайской конвенции о борьбе с терроризмом, сепаратизмом и экстремизмом» и др.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К указам и распоряжениям Президента Российской Федерации в сфере борьбы с терроризмом экстремизмом относятся: Указ Президента Российской Федерации от 22 января 2001 года № 61 «О мерах по борьбе с терроризмом на территории Северо-Кавказского региона Российской Федерации»; Указ Президента Российской Федерации от 30 июня 2003 года № 715 «О дополнительных мерах по борьбе с терроризмом на территории Северо-Кавказского региона Российской Федерации»; Указ Президента Российской Федерации от 17 июня 2003 года № 680 «О центральных компетентных органах Российской Федерации, ответственных за выполнение Шанхайской конвенции о борьбе с терроризмом, сепаратизмом и экстремизмом» и др.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например: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Постановление Правительства Российской Федерации от 10 декабря 2002 года № 880 «Об утверждении Положения о Федеральной антитеррористической комиссии»; Постановление Правительства Российской Федерации от 6 февраля 2001 года № 90 «О порядке осуществления социальной реабилитации лиц, пострадавших в результате террористической акции» и др.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В «Концепции национальной безопасности Российской Федерации», утвержденной Указом Президента Российской Федерации от 10 января 2000 года № 24, особо подчеркивается важность нейтрализации причин и условий, способствующих возникновению политического и религиозного экстремизма, этносепаратизма и их последствий — социальных, межэтнических и религиозных конфликтов, терроризма, а также необходимость эффективного сотрудничества с иностранными государствами, их правоохранительными органами и специальными службами, с международными организациями, в задачу которых входит борьба с терроризмом.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некоторых субъектах Российской Федерации приняты законы, определяющие правовые основы, формы и методы противодействия политическому и религиозному экстремизму, а также принципы ответственности граждан и организаций за политический и религиозный экстремизм. Это, например: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Закон Республики Дагестан от 16 сентября 1999 года № 15 «О запрете ваххабитской и иной экстремистской деятельности на территории Республики Дагестан»; Закон Карачаево-Черкесской Республики от 4 мая 2000 года № 6-РЗ «О противодействии политическому и религиозному экстремизму на территории КЧР»; Закон Кабардино-Балкарской Республики от 1 июня 2001 года «О запрете экстремистской религиозной деятельности и административной ответственности за правонарушения, связанные с осуществлением религиозной деятельности» и др.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Однако имеющийся потенциал мер правового противодействия терроризму не всегда используется в полной мере в силу недостаточной эффективности правоприменительной деятельности, а также в связи с существующими пробелами в законодательном регулировании борьбы с терроризмом, что требует дальнейшего совершенствования нормативно-правовой базы с учетом международного и зарубежного опыта. Работа над текстом законопроекта о противодействии терроризму будет завершена в 2005 году, считает председатель комитета Госдумы по безопасности Владимир Васильев.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По словам В. Васильева, одной из основных составляющих законопроекта является выстраивание системы управления в случае террористической угрозы. «Законопроект предполагает выстроить систему единого управления с федерального уровня до оперативного штаба», — пояснил депутат. Кроме того, документ регулирует организацию управления штабом и на местах. «Хорошо бы было иметь уровни угрозы по степеням или по цвету. Когда есть угроза теракта, общество информируется об этом, и каждый предупрежденный человек может стать активным борцом с терроризмом», — сказал В. Васильев.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Вместе с тем, он признал, что в настоящее время разработчики законопроекта «топчутся на месте». По его словам, это связано с тем, что в ходе разработки возникает множество вопросов. В частности, не все понимают, что такое режим террористической угрозы, к чему приведет введение этого режима, пояснил В. Васильев.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Он выразил надежду, что в ближайшее время удастся выйти на стадию второго чтения законопроекта. Правда, этот законопроект, как и любой другой, должен быть обеспечен финансированием, отметил В. Васильев.</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lastRenderedPageBreak/>
        <w:t>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В истекшем году наметилась тенденция к несколько более строгому применению этих актов к лицам, совершившим преступления на национальной и религиозной почве. Но в целом исполнительная власть и суды проявляют малопонятную снисходительность по отношению к профашистским, экстремистским националистическим группировкам. Анализ правоприменительной практики демонстрирует серьезное несоответствие законодательства и реального положения дел в этой сфере. Вопрос состоит в том, чтобы применять существующие нормы систематически и по назначению, не пытаясь списывать проявления национального и религиозного экстремизма на обычное хулиганство, как это, к сожалению, сплошь и рядом все еще происходит. Принципиально важно также, чтобы борьба с этим злом велась не в рамках периодических кампаний, а на постоянной основе».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Как отмечается в научной литературе, государственная система противодействия экстремизму функционирует не столь эффективно, как того требуют современные реалии.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Общество еще не в полной мере осознало степень опасности этого явления для российской государственности, многонационального и поликонфессионального российского народа.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Не наработана в достаточной степени правоприменительная практика борьбы с религиозным экстремизмом, что, в первую очередь, связано с декларативным характером некоторых правовых норм, а также со сложностью формирования доказательной базы.</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Важнейшим условием повышения эффективности противодействия экстремизму и терроризму является разработка общегосударственной комплексной программы, включающей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террористических операций с учетом их типологии, форм подготовки и проведения, а также мониторинга текущего состояния и прогнозирования развития терроризма.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Как указывается в научных исследованиях, для решения данной задачи необходима концептуально обоснованная, многоуровневая система мер предупреждения экстремизма и терроризма, которая должна включать в себя: нормативно-правовое обеспечение антитеррористических действий, совершенствование законодательства о недопустимости и запрете возбуждения религиозной, национальной вражды; превентивные мероприятия, позволяющие выявлять намерения террористов и оперативно пресекать террористические действия на стадии их реализации; централизацию руководства всеми антитеррористическими действиями, обеспечение согласованности усилий силовых ведомств и органов власти всех уровней на основе четкого размежевания компетенции органов федерального, регионального и местного уровней; обеспечение взаимодействия и координации действий антитеррористических сил в международном, межгосударственном масштабе, контроль за деятельностью международных террористических объединений, их центров и штаб-квартир, баз подготовки боевиков и других террористических структур, выявление и ликвидация источников финансирования террористических групп, включая легитимные и криминальные доходы террористов; всестороннее информационно-психологическое обеспечение антитеррористической деятельности, выявление и ликвидацию центров идеологического обеспечения и поддержки террористических движений, идеологическое дифференцированное воздействие на население, </w:t>
      </w:r>
      <w:r w:rsidRPr="00383030">
        <w:rPr>
          <w:rFonts w:ascii="Times New Roman" w:hAnsi="Times New Roman" w:cs="Times New Roman"/>
          <w:sz w:val="24"/>
          <w:szCs w:val="24"/>
        </w:rPr>
        <w:lastRenderedPageBreak/>
        <w:t>террористов, субъектов их поддержки и противников, переориентацию СМИ на противодействие пропаганде насилия и внедрение в социальную практику норм толерантного поведения.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Необходимо отметить, что в отечественной юридической литературе терроризм рассматривается как крайняя форма проявления экстремизма. Под экстремизмом (экстремистской деятельностью) в российской правовой доктрине понимается: 1) деятельность физических лиц и различных организаций (религиозных, общественных и т.д.) по планированию, организации, подготовке и совершению действий, направленных на насильственное изменение основ конституционного строя и нарушение целостности России, подрыв безопасности РФ, захват или присвоение властных полномочий, создание незаконных вооруженных формирований, осуществление террористической деятельности и т.д.; 2) пропаганда и публичная демонстрация нацистской и сходной с ней атрибутики или символики; 3) публичные призывы к указанной деятельности; 4) финансирование указанной деятельности.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Зарубежные исследователи выделяют следующие виды терроризма: психический и преступный (Дж. Белл); революционный, субреволюционный и репрессивный (П. Уилкинсон, Р. Шульц); ядерный, экономический, технологический, экологический и др.</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Терроризм можно классифицировать на следующие самостоятельные виды: по территориальному признаку: международный; внутригосударственный; в зависимости от преступной мотивации: политический; религиозный; националистический; экономический.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Наказание за терроризм по УК России. Статья 205 Уголовного кодекса России 1996 г. предусматривает ответственность за терроризм, —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свершения указанных действий в тех же целях.</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Наказание за терроризм, предусмотренное санкцией ст. 205 УК РФ представляет собой лишение свободы: по ч. 1 — на срок от пяти до десяти лет; по ч. 2 — на срок от восьми до пятнадцати; по ч. 3 — на срок от десяти до двадцати лет.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Законодательством предусматривается система мер по предотвращению терроризма. В их числе имеются и непосредственно уголовно-правовые меры. В соответствии со ст. 31 УК РФ лицо освобождается от уголовной ответственности при добровольном отказе от совершения любого преступления, в том числе и терроризма. Добровольный отказ от преступления — это прекращение приготовления к нему или прекращение самих неоконченных преступных действий, если лицо осознало возможность доведения преступления до конца. Условиями освобождения от ответственности при добровольном отказе являются: добровольность и окончательность отказа от совершения преступления; совершение лишь таких действий, которые не образуют состава другого преступления; осознание лицом объективной возможности довести преступление до конца. Добровольный отказ от совершения преступления в соучастии имеет свои особенности, поскольку преступный результат является последствием совокупных действий даже тех лиц, которые «внесли» в преступный результат лишь интеллектуальный вклад.</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Законодатель выделяет подстрекателей преступления, предъявляя им более значительные по объему требования, в случае их добровольного отказа. Так, в силу ч. 4 ст. 31 УК РФ они освобождаются лишь при условии, если своевременным сообщением органам власти или иным </w:t>
      </w:r>
      <w:r w:rsidRPr="00383030">
        <w:rPr>
          <w:rFonts w:ascii="Times New Roman" w:hAnsi="Times New Roman" w:cs="Times New Roman"/>
          <w:sz w:val="24"/>
          <w:szCs w:val="24"/>
        </w:rPr>
        <w:lastRenderedPageBreak/>
        <w:t>способом сумели предотвратить доведение преступления до конца его исполнителем. Пособник также должен предпринять все зависящие от него меры, чтобы предотвратить преступление, совершению которого он способствовал. Условия освобождения, в соответствии со ст. 31 УК РФ, полностью распространяются и на терроризм. Если терроризм носит индивидуальный характер, то применяются ч.ч. 1-3 ст. 31 УК РФ; если терроризм групповой (по предварительному сговору или организованной группой) — ч.ч. 4,5 ст. 31 УК РФ. Вводя в примечание к ст. 205 УК РФ особые основания освобождения от наказания, законодатель стремится использовать дополнительные меры предотвращения террористических актов. Применение этого положения закона возможно при наличии трех условий: 1) лицо участвовало лишь в подготовке акта терроризма; 2) лицо своевременным предупреждением органов власти или иным способом способствовало предотвращению терроризма (не обязательно предотвратило его); 3) если в действиях такого лица не содержится признаков иного преступления.</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Самое значительное отличие добровольного отказа от особых оснований освобождения от ответственности заключается в том, что освобождение лица, участвующего в подготовке теракта, согласно примечанию к ст. 205 УК РФ, возможно как при добровольном, так и вынужденном «сотрудничестве» террориста с органами власти или в выполнении других, предупреждающих теракт действий.</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14 июля 2006 года Советом Федерации был одобрен Федеральный закон «О внесении изменений в статьи 1 и 15 Федерального закона «О противодействии экстремистской деятельности». Основные новации этого закона связаны с определением новых общественно опасных деяний в качестве признаков экстремистской деятельности. Но, как показала правоприменительная практика указанных изменений оказалось недостаточно для эффективного противодействия экстремизму, поэтому 24 июля 2007 г. был принят Федеральный закон № 211 — 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xml:space="preserve">В феврале 2006 г. был принят Федеральный закон «О противодействии терроризму», вступивший в силу с 10 марта 2006 г. Действовавший прежде Федеральный закон «О борьбе с терроризмом» был принят в июле 1998 г., а в марте 2006 г. большая часть его норм утратила силу, но несколько статей еще продолжали действовать до 1 января 2007 г., и лишь с этой даты названый закон полностью утратил силу. В связи с этим в течение нескольких месяцев (с марта по декабрь 2006 г.) действовали два федеральных закона, регламентировавших и определявших правовые и организационные основы борьбы и противодействия терроризму. Однако на сегодняшний день Закон «О противодействии терроризму» является основным источником национального антитеррористического законодательства и нормативным правовым актом федерального уровня, который, как определяет преамбула этого закона,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изменения Вооруженных Сил Российской Федерации в борьбе с терроризмом. Вместе с тем Закон «О противодействии терроризму» — хотя и основной, но не единственный источник нового отечественного антитеррористического законодательства, так как в соответствии со ст. 1 данного Закона, юридическую основу противодействия терроризму составляют: 1) Конституция России; 2) общепризнанные принципы и нормы международного права, международные договоры РФ; 3) настоящий Федеральный закон; 4) другие федеральные законы; 5) нормативные правовые акты Президента РФ; 6) нормативные правовые акты </w:t>
      </w:r>
      <w:r w:rsidRPr="00383030">
        <w:rPr>
          <w:rFonts w:ascii="Times New Roman" w:hAnsi="Times New Roman" w:cs="Times New Roman"/>
          <w:sz w:val="24"/>
          <w:szCs w:val="24"/>
        </w:rPr>
        <w:lastRenderedPageBreak/>
        <w:t>Правительства РФ; 7) принимаемые в соответствии с ними нормативные правовые акты других федеральных органов государственной власти.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число иных правовых источников, составляющих российское национальное антитеррористическое законодательство, входят:</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УК РФ, предусматривающий уголовную ответственность за совершение преступлений террористического характера;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Закон от 7 августа 2001 г. «О противодействии легализации (отмыванию) доходов, полученных преступным путем, и финансированию терроризма»;</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Указ Президента РФ от 17 декабря 1997 г. (в ред. Указа от 10 января 2000 г. № 24) «Об утверждении Концепции национальной безопасности Российской Федерации»;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Указ Президента РФ от 15 февраля 2006 г. № 116 (в ред. Указа от 2 августа 2006 г.) «О мерах по противодействию терроризму» (вместе с Положением о Национальном антитеррористическом комитете);</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 приказ МВД РФ от 29 октября 2001 г. № 951 «О неотложных мерах по совершенствованию деятельности органов внутренних дел и внутренних войск по борьбе с терроризмом, отнесенным к компетенции МВД России».</w:t>
      </w:r>
    </w:p>
    <w:p w:rsidR="00383030" w:rsidRPr="00383030" w:rsidRDefault="00383030" w:rsidP="00383030">
      <w:pPr>
        <w:jc w:val="both"/>
        <w:rPr>
          <w:rFonts w:ascii="Times New Roman" w:hAnsi="Times New Roman" w:cs="Times New Roman"/>
          <w:sz w:val="24"/>
          <w:szCs w:val="24"/>
        </w:rPr>
      </w:pPr>
      <w:r w:rsidRPr="00383030">
        <w:rPr>
          <w:rFonts w:ascii="Times New Roman" w:hAnsi="Times New Roman" w:cs="Times New Roman"/>
          <w:sz w:val="24"/>
          <w:szCs w:val="24"/>
        </w:rPr>
        <w:t>В настоящее время законодательство Российской Федерации по противодействию экстремистской и террористической деятельности основывается на положениях Конституции Российской Федерации, общепризнанных принципах и нормах международного права. Основными нормативными актами, определяющими правовые основы борьбы с экстремизмом и терроризмом, являются Федеральные законы «О противодействии экстремистской деятельности» от 25 июля 2002 года, «О противодействии терроризму» от 6 марта 2006 г., которыми определены правовые и организационные основы противодействия экстремистской и террористической деятельности, а также установлена ответственность за ее осуществление.</w:t>
      </w:r>
    </w:p>
    <w:p w:rsidR="00383030" w:rsidRPr="00383030" w:rsidRDefault="00383030" w:rsidP="00383030">
      <w:pPr>
        <w:jc w:val="both"/>
        <w:rPr>
          <w:rFonts w:ascii="Times New Roman" w:hAnsi="Times New Roman" w:cs="Times New Roman"/>
          <w:sz w:val="24"/>
          <w:szCs w:val="24"/>
        </w:rPr>
      </w:pPr>
    </w:p>
    <w:p w:rsidR="009871CD" w:rsidRDefault="009871CD"/>
    <w:sectPr w:rsidR="009871CD" w:rsidSect="000F0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83030"/>
    <w:rsid w:val="00383030"/>
    <w:rsid w:val="00987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9298</Words>
  <Characters>52999</Characters>
  <Application>Microsoft Office Word</Application>
  <DocSecurity>0</DocSecurity>
  <Lines>441</Lines>
  <Paragraphs>124</Paragraphs>
  <ScaleCrop>false</ScaleCrop>
  <Company>Microsoft</Company>
  <LinksUpToDate>false</LinksUpToDate>
  <CharactersWithSpaces>62173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2017-03-21T06:36:00Z</dcterms:created>
  <dcterms:modified xsi:type="dcterms:W3CDTF">2017-03-21T06:36:00Z</dcterms:modified>
</cp:coreProperties>
</file>